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64"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〕6-5号</w:t>
      </w:r>
    </w:p>
    <w:p>
      <w:pPr>
        <w:keepNext w:val="0"/>
        <w:keepLines w:val="0"/>
        <w:pageBreakBefore w:val="0"/>
        <w:widowControl w:val="0"/>
        <w:kinsoku/>
        <w:wordWrap/>
        <w:overflowPunct w:val="0"/>
        <w:topLinePunct w:val="0"/>
        <w:autoSpaceDE/>
        <w:autoSpaceDN/>
        <w:bidi w:val="0"/>
        <w:spacing w:line="564"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当事人：焦作市启汇二手车交易市场有限公司；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统一社会信用代码：91410800MA46C99H6C；</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  所：焦作市城乡一体示范区丰收东路焦作市启帆彩板钢构有限公司院内；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机构类型：有限责任公司（自然人投资或控股）；</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经营范围：二手车交易服务、市场管理服务、房屋租赁。</w:t>
      </w: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的权利。当事人在法定期限内未向本机关进行陈述</w:t>
      </w:r>
      <w:r>
        <w:rPr>
          <w:rFonts w:hint="eastAsia" w:ascii="宋体" w:hAnsi="宋体" w:eastAsia="仿宋_GB2312"/>
          <w:color w:val="000000" w:themeColor="text1"/>
          <w:sz w:val="32"/>
          <w:szCs w:val="32"/>
        </w:rPr>
        <w:t>、</w:t>
      </w:r>
      <w:r>
        <w:rPr>
          <w:rFonts w:ascii="宋体" w:hAnsi="宋体" w:eastAsia="仿宋_GB2312"/>
          <w:color w:val="000000" w:themeColor="text1"/>
          <w:sz w:val="32"/>
          <w:szCs w:val="32"/>
        </w:rPr>
        <w:t>申辩。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color w:val="000000" w:themeColor="text1"/>
          <w:sz w:val="32"/>
          <w:szCs w:val="32"/>
          <w:shd w:val="clear" w:color="auto" w:fill="FFFFFF"/>
        </w:rPr>
        <w:t>根据《二手车流通管理办法》《国家税务总局关于二手车经销公司发票使用有关问题的公告》等规定，</w:t>
      </w:r>
      <w:r>
        <w:rPr>
          <w:rFonts w:hint="eastAsia" w:ascii="宋体" w:hAnsi="宋体" w:eastAsia="仿宋_GB2312" w:cs="仿宋_GB2312"/>
          <w:color w:val="000000" w:themeColor="text1"/>
          <w:sz w:val="32"/>
          <w:szCs w:val="32"/>
        </w:rPr>
        <w:t>二手车交易应在二手车交易市场进行，并由交易市场出具交易发票，作为车辆办理过户的依据</w:t>
      </w:r>
      <w:r>
        <w:rPr>
          <w:rFonts w:hint="eastAsia" w:ascii="宋体" w:hAnsi="宋体" w:eastAsia="仿宋_GB2312" w:cs="仿宋_GB2312"/>
          <w:color w:val="000000" w:themeColor="text1"/>
          <w:sz w:val="32"/>
          <w:szCs w:val="32"/>
          <w:shd w:val="clear" w:color="auto" w:fill="FFFFFF"/>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东城国贸二手车市场有限公司（简称“东城”）、焦作市警源二手车交易市场有限公司（简称“警源”）、焦作市富捷二手车市场有限公司（简称“富捷”）、焦作市通大二手车交易市场有限公司（简称“通大”）、沁阳市瑞轩旧机动车交易服务有限公司（简称“瑞轩”）、温县天赐二手车交易市场有限公司（简称“天赐”）、孟州市路通二手车交易市场有限公司（简称“路通”）、孟州市路安二手车交易市场有限公司（简称“路安”）、修武县源通旧机动车交易市场有限公司（简称“源通”）、河南省鑫丰二手车市场管理有限公司（简称“鑫丰”）、焦作市优信二手车市场有限公司（简称“优信”）、焦作市鸿大二手车交易市场有限公司（简称“鸿大”）、温县顺风二手车交易市场有限公司（简称“顺风”）、博爱县盛博二手车交易有限公司（简称“盛博”）、博爱县德聚二手车交易市场有限公司（简称“德聚”）。</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numPr>
          <w:ilvl w:val="0"/>
          <w:numId w:val="1"/>
        </w:numPr>
        <w:kinsoku/>
        <w:wordWrap/>
        <w:overflowPunct w:val="0"/>
        <w:topLinePunct w:val="0"/>
        <w:autoSpaceDE/>
        <w:autoSpaceDN/>
        <w:bidi w:val="0"/>
        <w:spacing w:line="564" w:lineRule="exact"/>
        <w:ind w:firstLine="640" w:firstLineChars="20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当事人参与达成并实施了固定或变更商品价格、分割销售市场的垄断协议。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2020年9月至2021年12月期间，在协会的组织下，当事人、恒桥、安驰、东城、通大、警源、富捷、源通、瑞轩、天赐、路安、路通等12家公司达成协议，即各公司协同执行趋同的二手车交易服务费公示价格，同时约定各公司的月销售额计算基数，通过“高交低补”、控制开票数量等手段达到分割销售市场之目的。为确保协议的顺利实施，协会通过收取保证金、现场检查、税务数据比对等方式监督各公司价格执行和实际开票情况，套用特定公式计算出各公司当月应得销售收入，并通过现金、微信转账、个人银行卡转账等形式对销售收入再分配。2022年上半年，当事人等12家公司协同维持的协议，因鑫丰、鸿大、德聚、盛博、顺风、优信等公司的开业而被迫中断执行。为拉拢新开业公司加入协议，协会多次采取会议、走访以及其他形式与当事人等各公司商讨如何继续协同。2022年8月1日协会组织会议，达成了统一将二手车交易服务费变更至趋同公示价格的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color w:val="000000" w:themeColor="text1"/>
        </w:rPr>
      </w:pPr>
      <w:r>
        <w:rPr>
          <w:rFonts w:hint="eastAsia" w:ascii="宋体" w:hAnsi="宋体" w:eastAsia="仿宋_GB2312" w:cs="仿宋_GB2312"/>
          <w:color w:val="000000" w:themeColor="text1"/>
          <w:sz w:val="32"/>
          <w:szCs w:val="32"/>
        </w:rPr>
        <w:t>当事人是协会副会长单位。在协议实施期间，当事人</w:t>
      </w:r>
      <w:r>
        <w:rPr>
          <w:rFonts w:hint="eastAsia" w:ascii="宋体" w:hAnsi="宋体" w:eastAsia="仿宋_GB2312" w:cs="仿宋"/>
          <w:color w:val="000000" w:themeColor="text1"/>
          <w:sz w:val="32"/>
          <w:szCs w:val="32"/>
        </w:rPr>
        <w:t>按照公示价格收取二手车交易服务费实施了固定或者变更商品价格的行为，并通过向协会交纳保证金和多次以现金等形式上交资金或收取补贴实施了分割销售市场的行为。</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经审计，当事人2021年度销售额为888,100.00元</w:t>
      </w:r>
      <w:r>
        <w:rPr>
          <w:rFonts w:hint="eastAsia" w:ascii="宋体" w:hAnsi="宋体" w:eastAsia="仿宋_GB2312" w:cs="仿宋"/>
          <w:color w:val="000000" w:themeColor="text1"/>
          <w:sz w:val="32"/>
          <w:szCs w:val="32"/>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第一组证据：当事人营业执照（副本）复印件、法定代表人身份证复印件，其他17家公司营业执照复印件。证明当事人的主体资格，是从事二手车交易服务的经营者，与其他17家公司是同行业竞争者。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第二组证据：当事人等多家公司公示的二手车交易服务费标准，证明当事人与其他各公司所执行的公示价格趋同。</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第三组证据：当事人交纳会费和保证金的相关财务凭证复印件，协会第二届会员大会签到表及会议纪要，证明当事人的协会副会长单位身份和交纳保证金的事实。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第四组证据：当事人2020年9月-2022年8月的销售台账，证明当事人执行公示价格的事实。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第五组证据：当事人相关负责人与协会相关负责人微信聊天记录，证明当事人与协会在达成并实施固定或者商品商品价格、分割销售市场的协议方面的意思联络。</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第六组证据：当事人相关负责人、协会相关负责人的询问笔录，证明当事人参与达成并实施固定或者变更商品价格、分割销售市场的事实。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第七组证据：当事人市场内商户的调查资料，证明当事人2022年8月达成并实施固定或者变更商品价格的事实。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第八组证据：会计师事务所出具的当事人财务审计报告，证明当事人2021年度销售额和无法计算违法所得的情况。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三项：“禁止具有竞争关系的经营者达成下列垄断协议：（一）固定或者变更商品价格；（三）分割销售市场或者原材料采购市场”之规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w:t>
      </w:r>
      <w:r>
        <w:rPr>
          <w:rFonts w:hint="eastAsia" w:ascii="宋体" w:hAnsi="宋体" w:eastAsia="仿宋_GB2312"/>
          <w:color w:val="000000" w:themeColor="text1"/>
          <w:sz w:val="32"/>
          <w:szCs w:val="32"/>
        </w:rPr>
        <w:t>、市场分割计算公式复杂</w:t>
      </w:r>
      <w:r>
        <w:rPr>
          <w:rFonts w:ascii="宋体" w:hAnsi="宋体" w:eastAsia="仿宋_GB2312"/>
          <w:color w:val="000000" w:themeColor="text1"/>
          <w:sz w:val="32"/>
          <w:szCs w:val="32"/>
        </w:rPr>
        <w:t>，无法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w:t>
      </w:r>
      <w:r>
        <w:rPr>
          <w:rFonts w:hint="eastAsia" w:ascii="宋体" w:hAnsi="宋体" w:eastAsia="仿宋_GB2312"/>
          <w:color w:val="000000" w:themeColor="text1"/>
          <w:sz w:val="32"/>
          <w:szCs w:val="32"/>
        </w:rPr>
        <w:t>其</w:t>
      </w:r>
      <w:r>
        <w:rPr>
          <w:rFonts w:ascii="宋体" w:hAnsi="宋体" w:eastAsia="仿宋_GB2312"/>
          <w:color w:val="000000" w:themeColor="text1"/>
          <w:sz w:val="32"/>
          <w:szCs w:val="32"/>
        </w:rPr>
        <w:t>实施垄断行为存续期间</w:t>
      </w:r>
      <w:r>
        <w:rPr>
          <w:rFonts w:hint="eastAsia" w:ascii="宋体" w:hAnsi="宋体" w:eastAsia="仿宋_GB2312"/>
          <w:color w:val="000000" w:themeColor="text1"/>
          <w:sz w:val="32"/>
          <w:szCs w:val="32"/>
        </w:rPr>
        <w:t>实际</w:t>
      </w:r>
      <w:r>
        <w:rPr>
          <w:rFonts w:ascii="宋体" w:hAnsi="宋体" w:eastAsia="仿宋_GB2312"/>
          <w:color w:val="000000" w:themeColor="text1"/>
          <w:sz w:val="32"/>
          <w:szCs w:val="32"/>
        </w:rPr>
        <w:t>因该行为多得的收入或减少的支出，因此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（二）处2021年度销售额888,100.00元3%的罚款，计26,643.00元（大写：</w:t>
      </w:r>
      <w:r>
        <w:rPr>
          <w:rFonts w:hint="eastAsia" w:ascii="宋体" w:hAnsi="宋体" w:eastAsia="仿宋_GB2312" w:cs="仿宋_GB2312"/>
          <w:color w:val="000000" w:themeColor="text1"/>
          <w:sz w:val="32"/>
          <w:szCs w:val="32"/>
          <w:lang w:eastAsia="zh-CN"/>
        </w:rPr>
        <w:t>人民币</w:t>
      </w:r>
      <w:r>
        <w:rPr>
          <w:rFonts w:hint="eastAsia" w:ascii="宋体" w:hAnsi="宋体" w:eastAsia="仿宋_GB2312" w:cs="仿宋_GB2312"/>
          <w:color w:val="000000" w:themeColor="text1"/>
          <w:sz w:val="32"/>
          <w:szCs w:val="32"/>
        </w:rPr>
        <w:t>贰万陆仟陆佰肆拾叁元整）。</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当事人应当自收到本行政处罚决定书之日起十五日内，</w:t>
      </w:r>
      <w:r>
        <w:rPr>
          <w:rFonts w:hint="eastAsia" w:ascii="宋体" w:hAnsi="宋体" w:eastAsia="仿宋_GB2312" w:cs="仿宋_GB2312"/>
          <w:color w:val="000000" w:themeColor="text1"/>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64"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r>
        <w:rPr>
          <w:rFonts w:hint="eastAsia" w:ascii="宋体" w:hAnsi="宋体" w:eastAsia="仿宋_GB2312" w:cs="Times New Roman"/>
          <w:color w:val="000000" w:themeColor="text1"/>
          <w:kern w:val="2"/>
          <w:sz w:val="32"/>
          <w:szCs w:val="32"/>
          <w:lang w:val="en-US" w:eastAsia="zh-CN" w:bidi="ar-SA"/>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64"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3"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2"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7E4F11"/>
    <w:rsid w:val="000C2D67"/>
    <w:rsid w:val="00115FAF"/>
    <w:rsid w:val="001C2000"/>
    <w:rsid w:val="00265541"/>
    <w:rsid w:val="002D6564"/>
    <w:rsid w:val="003A7ED7"/>
    <w:rsid w:val="004B2AC2"/>
    <w:rsid w:val="00657A42"/>
    <w:rsid w:val="007E4F11"/>
    <w:rsid w:val="00BD70C6"/>
    <w:rsid w:val="00D913FD"/>
    <w:rsid w:val="00DA24A9"/>
    <w:rsid w:val="00DE6A36"/>
    <w:rsid w:val="174A56E2"/>
    <w:rsid w:val="232164F2"/>
    <w:rsid w:val="32E75AA2"/>
    <w:rsid w:val="33081B20"/>
    <w:rsid w:val="37E52FB2"/>
    <w:rsid w:val="3F29601D"/>
    <w:rsid w:val="3FCE20C1"/>
    <w:rsid w:val="50BB2CAE"/>
    <w:rsid w:val="56993449"/>
    <w:rsid w:val="57C5769A"/>
    <w:rsid w:val="5B460C53"/>
    <w:rsid w:val="60B87893"/>
    <w:rsid w:val="74E42A19"/>
    <w:rsid w:val="7F146310"/>
    <w:rsid w:val="D8DF2E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styleId="3">
    <w:name w:val="table of authorities"/>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2954</Words>
  <Characters>3077</Characters>
  <Lines>22</Lines>
  <Paragraphs>6</Paragraphs>
  <TotalTime>0</TotalTime>
  <ScaleCrop>false</ScaleCrop>
  <LinksUpToDate>false</LinksUpToDate>
  <CharactersWithSpaces>3146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2022-07-14T10:33:00Z</dcterms:created>
  <dc:creator>admin</dc:creator>
  <cp:lastModifiedBy>lhq</cp:lastModifiedBy>
  <dcterms:modified xsi:type="dcterms:W3CDTF">2024-01-05T02:45:40Z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CDFB52903D33439BBBDB9683A015C693</vt:lpwstr>
  </property>
</Properties>
</file>