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14:textFill>
            <w14:solidFill>
              <w14:schemeClr w14:val="tx1"/>
            </w14:solidFill>
          </w14:textFill>
        </w:rPr>
      </w:pPr>
      <w:r>
        <w:rPr>
          <w:rFonts w:hint="eastAsia" w:ascii="宋体" w:hAnsi="宋体" w:eastAsia="方正小标宋简体" w:cs="方正小标宋简体"/>
          <w:color w:val="000000" w:themeColor="text1"/>
          <w:sz w:val="44"/>
          <w:szCs w:val="44"/>
          <w14:textFill>
            <w14:solidFill>
              <w14:schemeClr w14:val="tx1"/>
            </w14:solidFill>
          </w14:textFill>
        </w:rPr>
        <w:t>河南省市场监督管理局</w:t>
      </w: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14:textFill>
            <w14:solidFill>
              <w14:schemeClr w14:val="tx1"/>
            </w14:solidFill>
          </w14:textFill>
        </w:rPr>
      </w:pPr>
      <w:bookmarkStart w:id="0" w:name="_Toc76683344"/>
      <w:r>
        <w:rPr>
          <w:rFonts w:hint="eastAsia" w:ascii="宋体" w:hAnsi="宋体" w:eastAsia="方正小标宋简体" w:cs="方正小标宋简体"/>
          <w:color w:val="000000" w:themeColor="text1"/>
          <w:sz w:val="44"/>
          <w:szCs w:val="44"/>
          <w14:textFill>
            <w14:solidFill>
              <w14:schemeClr w14:val="tx1"/>
            </w14:solidFill>
          </w14:textFill>
        </w:rPr>
        <w:t>行政处罚决定书</w:t>
      </w:r>
      <w:bookmarkEnd w:id="0"/>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豫市监处罚〔</w:t>
      </w:r>
      <w:r>
        <w:rPr>
          <w:rFonts w:hint="eastAsia" w:ascii="宋体" w:hAnsi="宋体" w:eastAsia="仿宋" w:cs="仿宋"/>
          <w:color w:val="000000" w:themeColor="text1"/>
          <w:sz w:val="32"/>
          <w:szCs w:val="32"/>
          <w14:textFill>
            <w14:solidFill>
              <w14:schemeClr w14:val="tx1"/>
            </w14:solidFill>
          </w14:textFill>
        </w:rPr>
        <w:t>2022</w:t>
      </w:r>
      <w:r>
        <w:rPr>
          <w:rFonts w:hint="eastAsia" w:ascii="宋体" w:hAnsi="宋体" w:eastAsia="仿宋_GB2312" w:cs="仿宋_GB2312"/>
          <w:color w:val="000000" w:themeColor="text1"/>
          <w:sz w:val="32"/>
          <w:szCs w:val="32"/>
          <w14:textFill>
            <w14:solidFill>
              <w14:schemeClr w14:val="tx1"/>
            </w14:solidFill>
          </w14:textFill>
        </w:rPr>
        <w:t>〕6-2号</w:t>
      </w:r>
    </w:p>
    <w:p>
      <w:pPr>
        <w:keepNext w:val="0"/>
        <w:keepLines w:val="0"/>
        <w:pageBreakBefore w:val="0"/>
        <w:widowControl w:val="0"/>
        <w:kinsoku/>
        <w:wordWrap/>
        <w:overflowPunct w:val="0"/>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一、当事人基本情况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当事人：焦作市恒桥旧机动车交易市场有限责任公司；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统一社会信用代码：91410800664689760H；</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法定代表人：</w:t>
      </w:r>
      <w:r>
        <w:rPr>
          <w:rFonts w:hint="eastAsia" w:ascii="宋体" w:hAnsi="宋体" w:eastAsia="仿宋_GB2312" w:cs="仿宋_GB2312"/>
          <w:color w:val="000000" w:themeColor="text1"/>
          <w:sz w:val="32"/>
          <w:szCs w:val="32"/>
          <w:lang w:val="en-US" w:eastAsia="zh-CN"/>
          <w14:textFill>
            <w14:solidFill>
              <w14:schemeClr w14:val="tx1"/>
            </w14:solidFill>
          </w14:textFill>
        </w:rPr>
        <w:t>**；</w:t>
      </w:r>
      <w:bookmarkStart w:id="1" w:name="_GoBack"/>
      <w:bookmarkEnd w:id="1"/>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住所：焦作市塔南路高新区李万南路；</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类  型：有限责任公司；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经营范围：旧机动车交易、代理、旧机动车交易信息咨询服务，房屋及场地租赁。</w:t>
      </w: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二、案件来源及调查经过</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14:textFill>
            <w14:solidFill>
              <w14:schemeClr w14:val="tx1"/>
            </w14:solidFill>
          </w14:textFill>
        </w:rPr>
        <w:t>进行了现场检查、调查询问，提</w:t>
      </w:r>
      <w:r>
        <w:rPr>
          <w:rFonts w:ascii="宋体" w:hAnsi="宋体" w:eastAsia="仿宋_GB2312"/>
          <w:color w:val="000000" w:themeColor="text1"/>
          <w:kern w:val="10"/>
          <w:sz w:val="32"/>
          <w:szCs w:val="32"/>
          <w14:textFill>
            <w14:solidFill>
              <w14:schemeClr w14:val="tx1"/>
            </w14:solidFill>
          </w14:textFill>
        </w:rPr>
        <w:t>取了相关书证、电子数据等材料，</w:t>
      </w:r>
      <w:r>
        <w:rPr>
          <w:rFonts w:hint="eastAsia" w:ascii="宋体" w:hAnsi="宋体" w:eastAsia="仿宋_GB2312"/>
          <w:color w:val="000000" w:themeColor="text1"/>
          <w:sz w:val="32"/>
          <w:szCs w:val="32"/>
          <w14:textFill>
            <w14:solidFill>
              <w14:schemeClr w14:val="tx1"/>
            </w14:solidFill>
          </w14:textFill>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ascii="宋体" w:hAnsi="宋体" w:eastAsia="仿宋_GB2312"/>
          <w:color w:val="000000" w:themeColor="text1"/>
          <w:sz w:val="32"/>
          <w:szCs w:val="32"/>
          <w14:textFill>
            <w14:solidFill>
              <w14:schemeClr w14:val="tx1"/>
            </w14:solidFill>
          </w14:textFill>
        </w:rPr>
        <w:t>2023年</w:t>
      </w:r>
      <w:r>
        <w:rPr>
          <w:rFonts w:hint="eastAsia" w:ascii="宋体" w:hAnsi="宋体" w:eastAsia="仿宋_GB2312"/>
          <w:color w:val="000000" w:themeColor="text1"/>
          <w:sz w:val="32"/>
          <w:szCs w:val="32"/>
          <w14:textFill>
            <w14:solidFill>
              <w14:schemeClr w14:val="tx1"/>
            </w14:solidFill>
          </w14:textFill>
        </w:rPr>
        <w:t>12</w:t>
      </w:r>
      <w:r>
        <w:rPr>
          <w:rFonts w:ascii="宋体" w:hAnsi="宋体" w:eastAsia="仿宋_GB2312"/>
          <w:color w:val="000000" w:themeColor="text1"/>
          <w:sz w:val="32"/>
          <w:szCs w:val="32"/>
          <w14:textFill>
            <w14:solidFill>
              <w14:schemeClr w14:val="tx1"/>
            </w14:solidFill>
          </w14:textFill>
        </w:rPr>
        <w:t>月</w:t>
      </w:r>
      <w:r>
        <w:rPr>
          <w:rFonts w:hint="eastAsia" w:ascii="宋体" w:hAnsi="宋体" w:eastAsia="仿宋_GB2312"/>
          <w:color w:val="000000" w:themeColor="text1"/>
          <w:sz w:val="32"/>
          <w:szCs w:val="32"/>
          <w14:textFill>
            <w14:solidFill>
              <w14:schemeClr w14:val="tx1"/>
            </w14:solidFill>
          </w14:textFill>
        </w:rPr>
        <w:t>6</w:t>
      </w:r>
      <w:r>
        <w:rPr>
          <w:rFonts w:ascii="宋体" w:hAnsi="宋体" w:eastAsia="仿宋_GB2312"/>
          <w:color w:val="000000" w:themeColor="text1"/>
          <w:sz w:val="32"/>
          <w:szCs w:val="32"/>
          <w14:textFill>
            <w14:solidFill>
              <w14:schemeClr w14:val="tx1"/>
            </w14:solidFill>
          </w14:textFill>
        </w:rPr>
        <w:t>日，本机关依法向当事人送达了《行政处罚告知书》，告知当事人涉嫌违反《中华人民共和国反垄断法》的事实、拟作出的行政处罚决定、理由和依据，以及依法享有陈述、申辩和要求举行听证的权利。当事人在法定期限内</w:t>
      </w:r>
      <w:r>
        <w:rPr>
          <w:rFonts w:hint="eastAsia" w:ascii="宋体" w:hAnsi="宋体" w:eastAsia="仿宋_GB2312"/>
          <w:color w:val="000000" w:themeColor="text1"/>
          <w:sz w:val="32"/>
          <w:szCs w:val="32"/>
          <w14:textFill>
            <w14:solidFill>
              <w14:schemeClr w14:val="tx1"/>
            </w14:solidFill>
          </w14:textFill>
        </w:rPr>
        <w:t>未</w:t>
      </w:r>
      <w:r>
        <w:rPr>
          <w:rFonts w:ascii="宋体" w:hAnsi="宋体" w:eastAsia="仿宋_GB2312"/>
          <w:color w:val="000000" w:themeColor="text1"/>
          <w:sz w:val="32"/>
          <w:szCs w:val="32"/>
          <w14:textFill>
            <w14:solidFill>
              <w14:schemeClr w14:val="tx1"/>
            </w14:solidFill>
          </w14:textFill>
        </w:rPr>
        <w:t>要求举行听证。</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三、违法事实</w:t>
      </w:r>
      <w:r>
        <w:rPr>
          <w:rFonts w:hint="eastAsia" w:ascii="宋体" w:hAnsi="宋体" w:eastAsia="黑体" w:cs="黑体"/>
          <w:color w:val="000000" w:themeColor="text1"/>
          <w:sz w:val="32"/>
          <w:szCs w:val="32"/>
          <w:lang w:eastAsia="zh-CN"/>
          <w14:textFill>
            <w14:solidFill>
              <w14:schemeClr w14:val="tx1"/>
            </w14:solidFill>
          </w14:textFill>
        </w:rPr>
        <w:t>及相关证据</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_GB2312" w:cs="楷体_GB2312"/>
          <w:color w:val="000000" w:themeColor="text1"/>
          <w:sz w:val="32"/>
          <w:szCs w:val="32"/>
          <w14:textFill>
            <w14:solidFill>
              <w14:schemeClr w14:val="tx1"/>
            </w14:solidFill>
          </w14:textFill>
        </w:rPr>
      </w:pPr>
      <w:r>
        <w:rPr>
          <w:rFonts w:hint="eastAsia" w:ascii="宋体" w:hAnsi="宋体" w:eastAsia="楷体_GB2312" w:cs="楷体_GB2312"/>
          <w:color w:val="000000" w:themeColor="text1"/>
          <w:sz w:val="32"/>
          <w:szCs w:val="32"/>
          <w14:textFill>
            <w14:solidFill>
              <w14:schemeClr w14:val="tx1"/>
            </w14:solidFill>
          </w14:textFill>
        </w:rPr>
        <w:t>（一）焦作市18家二手车交易市场公司在焦作市二手车交易服务市场是具有竞争关系的经营者。</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14:textFill>
            <w14:solidFill>
              <w14:schemeClr w14:val="tx1"/>
            </w14:solidFill>
          </w14:textFill>
        </w:rPr>
      </w:pPr>
      <w:r>
        <w:rPr>
          <w:rFonts w:hint="eastAsia" w:ascii="宋体" w:hAnsi="宋体" w:eastAsia="仿宋_GB2312" w:cs="仿宋_GB2312"/>
          <w:color w:val="000000" w:themeColor="text1"/>
          <w:sz w:val="32"/>
          <w:szCs w:val="32"/>
          <w:shd w:val="clear" w:color="auto" w:fill="FFFFFF"/>
          <w14:textFill>
            <w14:solidFill>
              <w14:schemeClr w14:val="tx1"/>
            </w14:solidFill>
          </w14:textFill>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14:textFill>
            <w14:solidFill>
              <w14:schemeClr w14:val="tx1"/>
            </w14:solidFill>
          </w14:textFill>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14:textFill>
            <w14:solidFill>
              <w14:schemeClr w14:val="tx1"/>
            </w14:solidFill>
          </w14:textFill>
        </w:rPr>
        <w:t>。</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shd w:val="clear" w:color="auto" w:fill="FFFFFF"/>
          <w14:textFill>
            <w14:solidFill>
              <w14:schemeClr w14:val="tx1"/>
            </w14:solidFill>
          </w14:textFill>
        </w:rPr>
        <w:t>本案涉案的焦作市二手车交易市场共有18家，分别为当事人</w:t>
      </w:r>
      <w:r>
        <w:rPr>
          <w:rFonts w:hint="eastAsia" w:ascii="宋体" w:hAnsi="宋体" w:eastAsia="仿宋_GB2312" w:cs="仿宋_GB2312"/>
          <w:color w:val="000000" w:themeColor="text1"/>
          <w:sz w:val="32"/>
          <w:szCs w:val="32"/>
          <w14:textFill>
            <w14:solidFill>
              <w14:schemeClr w14:val="tx1"/>
            </w14:solidFill>
          </w14:textFill>
        </w:rPr>
        <w:t>、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shd w:val="clear" w:color="auto" w:fill="FFFFFF"/>
          <w14:textFill>
            <w14:solidFill>
              <w14:schemeClr w14:val="tx1"/>
            </w14:solidFill>
          </w14:textFill>
        </w:rPr>
        <w:t>上述18家二手车交易市场公司均从事二手车交易服务，向客户收取交易服务费，</w:t>
      </w:r>
      <w:r>
        <w:rPr>
          <w:rFonts w:hint="eastAsia" w:ascii="宋体" w:hAnsi="宋体" w:eastAsia="仿宋_GB2312" w:cs="仿宋_GB2312"/>
          <w:color w:val="000000" w:themeColor="text1"/>
          <w:sz w:val="32"/>
          <w:szCs w:val="32"/>
          <w14:textFill>
            <w14:solidFill>
              <w14:schemeClr w14:val="tx1"/>
            </w14:solidFill>
          </w14:textFill>
        </w:rPr>
        <w:t>在焦作市二手车交易服务市场是具有竞争关系的经营者。</w:t>
      </w:r>
    </w:p>
    <w:p>
      <w:pPr>
        <w:keepNext w:val="0"/>
        <w:keepLines w:val="0"/>
        <w:pageBreakBefore w:val="0"/>
        <w:widowControl w:val="0"/>
        <w:numPr>
          <w:ilvl w:val="0"/>
          <w:numId w:val="1"/>
        </w:numPr>
        <w:kinsoku/>
        <w:wordWrap/>
        <w:overflowPunct w:val="0"/>
        <w:topLinePunct w:val="0"/>
        <w:autoSpaceDE/>
        <w:autoSpaceDN/>
        <w:bidi w:val="0"/>
        <w:spacing w:line="564" w:lineRule="exact"/>
        <w:ind w:firstLine="640" w:firstLineChars="200"/>
        <w:textAlignment w:val="auto"/>
        <w:rPr>
          <w:rFonts w:ascii="宋体" w:hAnsi="宋体" w:eastAsia="楷体_GB2312" w:cs="楷体_GB2312"/>
          <w:color w:val="000000" w:themeColor="text1"/>
          <w:sz w:val="32"/>
          <w:szCs w:val="32"/>
          <w14:textFill>
            <w14:solidFill>
              <w14:schemeClr w14:val="tx1"/>
            </w14:solidFill>
          </w14:textFill>
        </w:rPr>
      </w:pPr>
      <w:r>
        <w:rPr>
          <w:rFonts w:hint="eastAsia" w:ascii="宋体" w:hAnsi="宋体" w:eastAsia="楷体_GB2312" w:cs="楷体_GB2312"/>
          <w:color w:val="000000" w:themeColor="text1"/>
          <w:sz w:val="32"/>
          <w:szCs w:val="32"/>
          <w14:textFill>
            <w14:solidFill>
              <w14:schemeClr w14:val="tx1"/>
            </w14:solidFill>
          </w14:textFill>
        </w:rPr>
        <w:t>当事人参与达成并实施了固定或变更商品价格、分割销售市场的垄断协议。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经查，上述18家公司所公示的二手车交易服务费收费标准主要是参照当事人、</w:t>
      </w:r>
      <w:r>
        <w:rPr>
          <w:rFonts w:hint="eastAsia" w:ascii="宋体" w:hAnsi="宋体" w:eastAsia="仿宋_GB2312" w:cs="仿宋_GB2312"/>
          <w:color w:val="000000" w:themeColor="text1"/>
          <w:sz w:val="32"/>
          <w:szCs w:val="32"/>
          <w:lang w:eastAsia="zh-CN"/>
          <w14:textFill>
            <w14:solidFill>
              <w14:schemeClr w14:val="tx1"/>
            </w14:solidFill>
          </w14:textFill>
        </w:rPr>
        <w:t>安驰</w:t>
      </w:r>
      <w:r>
        <w:rPr>
          <w:rFonts w:hint="eastAsia" w:ascii="宋体" w:hAnsi="宋体" w:eastAsia="仿宋_GB2312" w:cs="仿宋_GB2312"/>
          <w:color w:val="000000" w:themeColor="text1"/>
          <w:sz w:val="32"/>
          <w:szCs w:val="32"/>
          <w14:textFill>
            <w14:solidFill>
              <w14:schemeClr w14:val="tx1"/>
            </w14:solidFill>
          </w14:textFill>
        </w:rPr>
        <w:t>公司而制定，公示收费价格趋同。2020年9月至2021年12月期间，在协会的组织下，当事人、安驰、东城、启汇、通大、警源、富捷、源通、瑞轩、天赐、路安、路通等12家公司达成协议，即各公司协同执行趋同的二手车交易服务费公示价格，同时约定各公司的月销售额计算基数，通过“高交低补”、控制开票数量等手段达到分割销售市场之目的。为确保协议的顺利实施，协会通过收取保证金、现场检查、税务数据比对等方式监督各公司价格执行和实际开票情况，套用特定公式计算出各公司当月应得销售收入，并通过现金、微信转账、个人银行卡转账等形式对销售收入再分配。2022年上半年，当事人等12家公司协同维持的上述协议，因鑫丰、鸿大、德聚、盛博、顺风、优信等公司的开业而被迫中断执行。为拉拢新开业公司加入协议，协会多次采取会议、走访以及其他形式与当事人等各公司商讨如何继续协同。2022年8月1日协会组织会议，达成了统一将二手车交易服务费变更至趋同公示价格的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当事人是协会会长单位</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在协议实施期间，</w:t>
      </w:r>
      <w:r>
        <w:rPr>
          <w:rFonts w:hint="eastAsia" w:ascii="宋体" w:hAnsi="宋体" w:eastAsia="仿宋_GB2312" w:cs="仿宋_GB2312"/>
          <w:color w:val="000000" w:themeColor="text1"/>
          <w:sz w:val="32"/>
          <w:szCs w:val="32"/>
          <w:lang w:eastAsia="zh-CN"/>
          <w14:textFill>
            <w14:solidFill>
              <w14:schemeClr w14:val="tx1"/>
            </w14:solidFill>
          </w14:textFill>
        </w:rPr>
        <w:t>当事人</w:t>
      </w:r>
      <w:r>
        <w:rPr>
          <w:rFonts w:hint="eastAsia" w:ascii="宋体" w:hAnsi="宋体" w:eastAsia="仿宋_GB2312" w:cs="仿宋_GB2312"/>
          <w:color w:val="000000" w:themeColor="text1"/>
          <w:sz w:val="32"/>
          <w:szCs w:val="32"/>
          <w14:textFill>
            <w14:solidFill>
              <w14:schemeClr w14:val="tx1"/>
            </w14:solidFill>
          </w14:textFill>
        </w:rPr>
        <w:t>通过按照公示价格收取二手车交易服务费实施了固定或者变更商品价格的行为，并通过向协会交纳保证金、控制开票数量等方式实施了分割销售市场的行为。</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经审计，当事人2021年度销售额为</w:t>
      </w:r>
      <w:r>
        <w:rPr>
          <w:rFonts w:hint="eastAsia" w:ascii="宋体" w:hAnsi="宋体" w:eastAsia="仿宋" w:cs="仿宋"/>
          <w:color w:val="000000" w:themeColor="text1"/>
          <w:kern w:val="0"/>
          <w:sz w:val="32"/>
          <w:szCs w:val="32"/>
          <w14:textFill>
            <w14:solidFill>
              <w14:schemeClr w14:val="tx1"/>
            </w14:solidFill>
          </w14:textFill>
        </w:rPr>
        <w:t>4,113,714.76</w:t>
      </w:r>
      <w:r>
        <w:rPr>
          <w:rFonts w:hint="eastAsia" w:ascii="宋体" w:hAnsi="宋体" w:eastAsia="仿宋_GB2312" w:cs="仿宋"/>
          <w:color w:val="000000" w:themeColor="text1"/>
          <w:sz w:val="32"/>
          <w:szCs w:val="32"/>
          <w14:textFill>
            <w14:solidFill>
              <w14:schemeClr w14:val="tx1"/>
            </w14:solidFill>
          </w14:textFill>
        </w:rPr>
        <w:t>元。</w:t>
      </w:r>
    </w:p>
    <w:p>
      <w:pPr>
        <w:pStyle w:val="3"/>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上述事实，主要有以下证据证明：</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第二组证据：当事人等多家公司公示的二手车交易服务费标准，证明当事人与其他各公司所执行的公示价格趋同。</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第三组证据：当事人交纳会费和保证金的相关财务凭证复印件，协会第二届会员大会签到表及会议纪要，证明当事人的协会会长单位身份和交纳保证金的事实。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第四组证据：当事人2020年9月-2022年8月的销售台账，证明当事人实施固定或者变更商品价格的事实。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第五组证据：当事人法定代表人的相关工作总结、报告，证明当事人</w:t>
      </w:r>
      <w:r>
        <w:rPr>
          <w:rFonts w:hint="eastAsia" w:ascii="宋体" w:hAnsi="宋体" w:eastAsia="仿宋_GB2312" w:cs="仿宋_GB2312"/>
          <w:color w:val="000000" w:themeColor="text1"/>
          <w:sz w:val="32"/>
          <w:szCs w:val="32"/>
          <w:lang w:eastAsia="zh-CN"/>
          <w14:textFill>
            <w14:solidFill>
              <w14:schemeClr w14:val="tx1"/>
            </w14:solidFill>
          </w14:textFill>
        </w:rPr>
        <w:t>参与</w:t>
      </w:r>
      <w:r>
        <w:rPr>
          <w:rFonts w:hint="eastAsia" w:ascii="宋体" w:hAnsi="宋体" w:eastAsia="仿宋_GB2312" w:cs="仿宋_GB2312"/>
          <w:color w:val="000000" w:themeColor="text1"/>
          <w:sz w:val="32"/>
          <w:szCs w:val="32"/>
          <w14:textFill>
            <w14:solidFill>
              <w14:schemeClr w14:val="tx1"/>
            </w14:solidFill>
          </w14:textFill>
        </w:rPr>
        <w:t>达成并实施固定或者变更商品价格的事实。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第六组证据：当事人相关微信聊天记录、当事人市场内商户的调查资料，证明当事人2022年8月1日变更价格的事实。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第七组证据：当事人法定代表人、协会有关负责人询问笔录，证明当事人参与达成并实施固定或者变更商品价格、分割销售市场的事实。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第八组证据：会计师事务所出具的当事人财务审计报告，证明当事人2021年度销售额和无法计算违法所得的情况。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四、当事人陈述和申辩情况</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针对上述事实和证据，当事人提出三个方面陈述和申辩意见：一是主体不适当不应处罚；二是被动参与协议慎用处罚；三是销售额不应是全部收入。</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本机关充分听取了当事人的意见，并对当事人提交的陈述申辩进行复核。经复核，认为当事人提出的陈述和申辩不能成立，不予采纳。理由如下：一是当事人作为协会会长单位，在协议的达成并实施中发挥着重要作用，上述事实和证据均证明其具有明显主观违法故意，并非被动参与，其作为垄断协议的实施者应当依法受到处罚，其作为本案主体适格。二是本机关在处罚额度上充分考量当事人的积极整改和经营状况等因素，已从轻处理。三是上一年度销售额认定为全部销售额，符合《中华人民共和国反垄断法》立法目的和相关规定。</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五、行政处罚依据及</w:t>
      </w:r>
      <w:r>
        <w:rPr>
          <w:rFonts w:hint="eastAsia" w:ascii="宋体" w:hAnsi="宋体" w:eastAsia="黑体" w:cs="黑体"/>
          <w:color w:val="000000" w:themeColor="text1"/>
          <w:sz w:val="32"/>
          <w:szCs w:val="32"/>
          <w:lang w:eastAsia="zh-CN"/>
          <w14:textFill>
            <w14:solidFill>
              <w14:schemeClr w14:val="tx1"/>
            </w14:solidFill>
          </w14:textFill>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本机关认定，当事人的上述行为排除、限制了市场竞争，损害了消费者利益和社会公共利益，违反了《中华人民共和国反垄断法》第十七条第一、三项：“禁止具有竞争关系的经营者达成下列垄断协议：（一）固定或者变更商品价格；（三）分割销售市场或者原材料采购市场”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ascii="宋体" w:hAnsi="宋体" w:eastAsia="仿宋_GB2312"/>
          <w:color w:val="000000" w:themeColor="text1"/>
          <w:sz w:val="32"/>
          <w:szCs w:val="32"/>
          <w14:textFill>
            <w14:solidFill>
              <w14:schemeClr w14:val="tx1"/>
            </w14:solidFill>
          </w14:textFill>
        </w:rPr>
        <w:t>由于当事人财务数据不完整</w:t>
      </w:r>
      <w:r>
        <w:rPr>
          <w:rFonts w:hint="eastAsia" w:ascii="宋体" w:hAnsi="宋体" w:eastAsia="仿宋_GB2312"/>
          <w:color w:val="000000" w:themeColor="text1"/>
          <w:sz w:val="32"/>
          <w:szCs w:val="32"/>
          <w14:textFill>
            <w14:solidFill>
              <w14:schemeClr w14:val="tx1"/>
            </w14:solidFill>
          </w14:textFill>
        </w:rPr>
        <w:t>、市场分割计算公式复杂</w:t>
      </w:r>
      <w:r>
        <w:rPr>
          <w:rFonts w:ascii="宋体" w:hAnsi="宋体" w:eastAsia="仿宋_GB2312"/>
          <w:color w:val="000000" w:themeColor="text1"/>
          <w:sz w:val="32"/>
          <w:szCs w:val="32"/>
          <w14:textFill>
            <w14:solidFill>
              <w14:schemeClr w14:val="tx1"/>
            </w14:solidFill>
          </w14:textFill>
        </w:rPr>
        <w:t>，无法</w:t>
      </w:r>
      <w:r>
        <w:rPr>
          <w:rFonts w:hint="eastAsia" w:ascii="宋体" w:hAnsi="宋体" w:eastAsia="仿宋_GB2312"/>
          <w:color w:val="000000" w:themeColor="text1"/>
          <w:sz w:val="32"/>
          <w:szCs w:val="32"/>
          <w14:textFill>
            <w14:solidFill>
              <w14:schemeClr w14:val="tx1"/>
            </w14:solidFill>
          </w14:textFill>
        </w:rPr>
        <w:t>科学</w:t>
      </w:r>
      <w:r>
        <w:rPr>
          <w:rFonts w:ascii="宋体" w:hAnsi="宋体" w:eastAsia="仿宋_GB2312"/>
          <w:color w:val="000000" w:themeColor="text1"/>
          <w:sz w:val="32"/>
          <w:szCs w:val="32"/>
          <w14:textFill>
            <w14:solidFill>
              <w14:schemeClr w14:val="tx1"/>
            </w14:solidFill>
          </w14:textFill>
        </w:rPr>
        <w:t>计算</w:t>
      </w:r>
      <w:r>
        <w:rPr>
          <w:rFonts w:hint="eastAsia" w:ascii="宋体" w:hAnsi="宋体" w:eastAsia="仿宋_GB2312"/>
          <w:color w:val="000000" w:themeColor="text1"/>
          <w:sz w:val="32"/>
          <w:szCs w:val="32"/>
          <w14:textFill>
            <w14:solidFill>
              <w14:schemeClr w14:val="tx1"/>
            </w14:solidFill>
          </w14:textFill>
        </w:rPr>
        <w:t>其</w:t>
      </w:r>
      <w:r>
        <w:rPr>
          <w:rFonts w:ascii="宋体" w:hAnsi="宋体" w:eastAsia="仿宋_GB2312"/>
          <w:color w:val="000000" w:themeColor="text1"/>
          <w:sz w:val="32"/>
          <w:szCs w:val="32"/>
          <w14:textFill>
            <w14:solidFill>
              <w14:schemeClr w14:val="tx1"/>
            </w14:solidFill>
          </w14:textFill>
        </w:rPr>
        <w:t>实施垄断行为存续期间因该行为</w:t>
      </w:r>
      <w:r>
        <w:rPr>
          <w:rFonts w:hint="eastAsia" w:ascii="宋体" w:hAnsi="宋体" w:eastAsia="仿宋_GB2312"/>
          <w:color w:val="000000" w:themeColor="text1"/>
          <w:sz w:val="32"/>
          <w:szCs w:val="32"/>
          <w14:textFill>
            <w14:solidFill>
              <w14:schemeClr w14:val="tx1"/>
            </w14:solidFill>
          </w14:textFill>
        </w:rPr>
        <w:t>实际</w:t>
      </w:r>
      <w:r>
        <w:rPr>
          <w:rFonts w:ascii="宋体" w:hAnsi="宋体" w:eastAsia="仿宋_GB2312"/>
          <w:color w:val="000000" w:themeColor="text1"/>
          <w:sz w:val="32"/>
          <w:szCs w:val="32"/>
          <w14:textFill>
            <w14:solidFill>
              <w14:schemeClr w14:val="tx1"/>
            </w14:solidFill>
          </w14:textFill>
        </w:rPr>
        <w:t>多得的收入或减少的支出，因此</w:t>
      </w:r>
      <w:r>
        <w:rPr>
          <w:rFonts w:hint="eastAsia" w:ascii="宋体" w:hAnsi="宋体" w:eastAsia="仿宋_GB2312"/>
          <w:color w:val="000000" w:themeColor="text1"/>
          <w:sz w:val="32"/>
          <w:szCs w:val="32"/>
          <w14:textFill>
            <w14:solidFill>
              <w14:schemeClr w14:val="tx1"/>
            </w14:solidFill>
          </w14:textFill>
        </w:rPr>
        <w:t>本</w:t>
      </w:r>
      <w:r>
        <w:rPr>
          <w:rFonts w:ascii="宋体" w:hAnsi="宋体" w:eastAsia="仿宋_GB2312"/>
          <w:color w:val="000000" w:themeColor="text1"/>
          <w:sz w:val="32"/>
          <w:szCs w:val="32"/>
          <w14:textFill>
            <w14:solidFill>
              <w14:schemeClr w14:val="tx1"/>
            </w14:solidFill>
          </w14:textFill>
        </w:rPr>
        <w:t>案无法计算违法所得。</w:t>
      </w:r>
      <w:r>
        <w:rPr>
          <w:rFonts w:hint="eastAsia" w:ascii="宋体" w:hAnsi="宋体" w:eastAsia="仿宋_GB2312" w:cs="仿宋_GB2312"/>
          <w:color w:val="000000" w:themeColor="text1"/>
          <w:sz w:val="32"/>
          <w:szCs w:val="32"/>
          <w14:textFill>
            <w14:solidFill>
              <w14:schemeClr w14:val="tx1"/>
            </w14:solidFill>
          </w14:textFill>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14:textFill>
            <w14:solidFill>
              <w14:schemeClr w14:val="tx1"/>
            </w14:solidFill>
          </w14:textFill>
        </w:rPr>
        <w:t>本机关决定</w:t>
      </w:r>
      <w:r>
        <w:rPr>
          <w:rFonts w:hint="eastAsia" w:ascii="宋体" w:hAnsi="宋体" w:eastAsia="仿宋_GB2312" w:cs="仿宋_GB2312"/>
          <w:color w:val="000000" w:themeColor="text1"/>
          <w:sz w:val="32"/>
          <w:szCs w:val="32"/>
          <w14:textFill>
            <w14:solidFill>
              <w14:schemeClr w14:val="tx1"/>
            </w14:solidFill>
          </w14:textFill>
        </w:rPr>
        <w:t>对当事人作出如下处理：</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（二）处2021年度销售额4,113,714.76元3%的罚款，计123,411.44元（大写：</w:t>
      </w:r>
      <w:r>
        <w:rPr>
          <w:rFonts w:hint="eastAsia" w:ascii="宋体" w:hAnsi="宋体" w:eastAsia="仿宋_GB2312" w:cs="仿宋_GB2312"/>
          <w:color w:val="000000" w:themeColor="text1"/>
          <w:sz w:val="32"/>
          <w:szCs w:val="32"/>
          <w:lang w:eastAsia="zh-CN"/>
          <w14:textFill>
            <w14:solidFill>
              <w14:schemeClr w14:val="tx1"/>
            </w14:solidFill>
          </w14:textFill>
        </w:rPr>
        <w:t>人民币</w:t>
      </w:r>
      <w:r>
        <w:rPr>
          <w:rFonts w:hint="eastAsia" w:ascii="宋体" w:hAnsi="宋体" w:eastAsia="仿宋_GB2312" w:cs="仿宋_GB2312"/>
          <w:color w:val="000000" w:themeColor="text1"/>
          <w:sz w:val="32"/>
          <w:szCs w:val="32"/>
          <w14:textFill>
            <w14:solidFill>
              <w14:schemeClr w14:val="tx1"/>
            </w14:solidFill>
          </w14:textFill>
        </w:rPr>
        <w:t>拾贰万叁仟肆佰壹拾壹元肆角肆分）。</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ascii="宋体" w:hAnsi="宋体" w:eastAsia="仿宋_GB2312"/>
          <w:color w:val="000000" w:themeColor="text1"/>
          <w:sz w:val="32"/>
          <w:szCs w:val="32"/>
          <w14:textFill>
            <w14:solidFill>
              <w14:schemeClr w14:val="tx1"/>
            </w14:solidFill>
          </w14:textFill>
        </w:rPr>
        <w:t>当事人应当自收到本行政处罚决定书之日起十五日内，</w:t>
      </w:r>
      <w:r>
        <w:rPr>
          <w:rFonts w:hint="eastAsia" w:ascii="宋体" w:hAnsi="宋体" w:eastAsia="仿宋_GB2312" w:cs="仿宋_GB2312"/>
          <w:color w:val="000000" w:themeColor="text1"/>
          <w:sz w:val="32"/>
          <w:szCs w:val="32"/>
          <w14:textFill>
            <w14:solidFill>
              <w14:schemeClr w14:val="tx1"/>
            </w14:solidFill>
          </w14:textFill>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户    名：河南省财政厅非税收入财政专户</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帐    号：</w:t>
      </w:r>
      <w:r>
        <w:rPr>
          <w:rFonts w:hint="eastAsia" w:ascii="宋体" w:hAnsi="宋体" w:eastAsia="仿宋_GB2312" w:cs="仿宋"/>
          <w:color w:val="000000" w:themeColor="text1"/>
          <w:sz w:val="32"/>
          <w:szCs w:val="32"/>
          <w14:textFill>
            <w14:solidFill>
              <w14:schemeClr w14:val="tx1"/>
            </w14:solidFill>
          </w14:textFill>
        </w:rPr>
        <w:t>419901010150009501</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
          <w:color w:val="000000" w:themeColor="text1"/>
          <w:sz w:val="32"/>
          <w:szCs w:val="32"/>
          <w14:textFill>
            <w14:solidFill>
              <w14:schemeClr w14:val="tx1"/>
            </w14:solidFill>
          </w14:textFill>
        </w:rPr>
        <w:t>开 户 行：中原银行郑州商务外环</w:t>
      </w:r>
      <w:r>
        <w:rPr>
          <w:rFonts w:hint="eastAsia" w:ascii="宋体" w:hAnsi="宋体" w:eastAsia="仿宋_GB2312" w:cs="仿宋_GB2312"/>
          <w:color w:val="000000" w:themeColor="text1"/>
          <w:sz w:val="32"/>
          <w:szCs w:val="32"/>
          <w14:textFill>
            <w14:solidFill>
              <w14:schemeClr w14:val="tx1"/>
            </w14:solidFill>
          </w14:textFill>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pStyle w:val="2"/>
        <w:keepNext w:val="0"/>
        <w:keepLines w:val="0"/>
        <w:pageBreakBefore w:val="0"/>
        <w:widowControl w:val="0"/>
        <w:kinsoku/>
        <w:wordWrap/>
        <w:topLinePunct w:val="0"/>
        <w:autoSpaceDE/>
        <w:autoSpaceDN/>
        <w:bidi w:val="0"/>
        <w:adjustRightInd/>
        <w:snapToGrid/>
        <w:spacing w:line="590" w:lineRule="exact"/>
        <w:textAlignment w:val="auto"/>
        <w:rPr>
          <w:rFonts w:hint="eastAsia" w:ascii="宋体" w:hAnsi="宋体"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napToGrid/>
        <w:spacing w:line="590" w:lineRule="exact"/>
        <w:textAlignment w:val="auto"/>
      </w:pPr>
    </w:p>
    <w:p>
      <w:pPr>
        <w:keepNext w:val="0"/>
        <w:keepLines w:val="0"/>
        <w:pageBreakBefore w:val="0"/>
        <w:widowControl w:val="0"/>
        <w:kinsoku/>
        <w:wordWrap/>
        <w:overflowPunct w:val="0"/>
        <w:topLinePunct w:val="0"/>
        <w:autoSpaceDE/>
        <w:autoSpaceDN/>
        <w:bidi w:val="0"/>
        <w:adjustRightInd/>
        <w:snapToGrid/>
        <w:spacing w:line="590" w:lineRule="exact"/>
        <w:ind w:firstLine="64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w:t>
      </w:r>
      <w:r>
        <w:rPr>
          <w:rFonts w:hint="eastAsia" w:ascii="宋体" w:hAnsi="宋体" w:eastAsia="仿宋_GB2312"/>
          <w:color w:val="000000" w:themeColor="text1"/>
          <w:sz w:val="32"/>
          <w:szCs w:val="32"/>
          <w:lang w:val="en-US" w:eastAsia="zh-CN"/>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w:t>
      </w:r>
      <w:r>
        <w:rPr>
          <w:rFonts w:hint="eastAsia" w:ascii="宋体" w:hAnsi="宋体" w:eastAsia="仿宋_GB2312"/>
          <w:color w:val="000000" w:themeColor="text1"/>
          <w:sz w:val="32"/>
          <w:szCs w:val="32"/>
          <w:lang w:val="en-US" w:eastAsia="zh-CN"/>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河南省市场监督管理局</w:t>
      </w:r>
    </w:p>
    <w:p>
      <w:pPr>
        <w:keepNext w:val="0"/>
        <w:keepLines w:val="0"/>
        <w:pageBreakBefore w:val="0"/>
        <w:widowControl w:val="0"/>
        <w:kinsoku/>
        <w:wordWrap/>
        <w:overflowPunct w:val="0"/>
        <w:topLinePunct w:val="0"/>
        <w:autoSpaceDE/>
        <w:autoSpaceDN/>
        <w:bidi w:val="0"/>
        <w:adjustRightInd/>
        <w:snapToGrid/>
        <w:spacing w:line="590" w:lineRule="exact"/>
        <w:ind w:firstLine="640"/>
        <w:textAlignment w:val="auto"/>
        <w:rPr>
          <w:rFonts w:hint="eastAsia"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w:t>
      </w:r>
      <w:r>
        <w:rPr>
          <w:rFonts w:hint="eastAsia" w:ascii="宋体" w:hAnsi="宋体" w:eastAsia="仿宋_GB2312"/>
          <w:color w:val="000000" w:themeColor="text1"/>
          <w:sz w:val="32"/>
          <w:szCs w:val="32"/>
          <w:lang w:val="en-US" w:eastAsia="zh-CN"/>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w:t>
      </w:r>
      <w:r>
        <w:rPr>
          <w:rFonts w:hint="eastAsia" w:ascii="宋体" w:hAnsi="宋体" w:eastAsia="仿宋_GB2312"/>
          <w:color w:val="000000" w:themeColor="text1"/>
          <w:sz w:val="32"/>
          <w:szCs w:val="32"/>
          <w:lang w:val="en-US" w:eastAsia="zh-CN"/>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2023年12月</w:t>
      </w:r>
      <w:r>
        <w:rPr>
          <w:rFonts w:hint="eastAsia" w:ascii="宋体" w:hAnsi="宋体" w:eastAsia="仿宋_GB2312"/>
          <w:color w:val="000000" w:themeColor="text1"/>
          <w:sz w:val="32"/>
          <w:szCs w:val="32"/>
          <w:lang w:val="en-US" w:eastAsia="zh-CN"/>
          <w14:textFill>
            <w14:solidFill>
              <w14:schemeClr w14:val="tx1"/>
            </w14:solidFill>
          </w14:textFill>
        </w:rPr>
        <w:t>19</w:t>
      </w:r>
      <w:r>
        <w:rPr>
          <w:rFonts w:hint="eastAsia" w:ascii="宋体" w:hAnsi="宋体" w:eastAsia="仿宋_GB2312"/>
          <w:color w:val="000000" w:themeColor="text1"/>
          <w:sz w:val="32"/>
          <w:szCs w:val="32"/>
          <w14:textFill>
            <w14:solidFill>
              <w14:schemeClr w14:val="tx1"/>
            </w14:solidFill>
          </w14:textFill>
        </w:rPr>
        <w:t xml:space="preserve">日         </w:t>
      </w:r>
    </w:p>
    <w:p>
      <w:pPr>
        <w:pStyle w:val="3"/>
        <w:rPr>
          <w:rFonts w:hint="eastAsia" w:ascii="宋体" w:hAnsi="宋体" w:eastAsia="仿宋_GB2312"/>
          <w:color w:val="000000" w:themeColor="text1"/>
          <w:sz w:val="32"/>
          <w:szCs w:val="32"/>
          <w14:textFill>
            <w14:solidFill>
              <w14:schemeClr w14:val="tx1"/>
            </w14:solidFill>
          </w14:textFill>
        </w:rPr>
      </w:pPr>
    </w:p>
    <w:p>
      <w:pPr>
        <w:pStyle w:val="3"/>
        <w:rPr>
          <w:rFonts w:hint="eastAsia" w:ascii="宋体" w:hAnsi="宋体" w:eastAsia="仿宋_GB2312"/>
          <w:color w:val="000000" w:themeColor="text1"/>
          <w:sz w:val="32"/>
          <w:szCs w:val="32"/>
          <w14:textFill>
            <w14:solidFill>
              <w14:schemeClr w14:val="tx1"/>
            </w14:solidFill>
          </w14:textFill>
        </w:rPr>
      </w:pPr>
    </w:p>
    <w:p>
      <w:pPr>
        <w:pStyle w:val="3"/>
        <w:rPr>
          <w:rFonts w:hint="eastAsia" w:ascii="宋体" w:hAnsi="宋体" w:eastAsia="仿宋_GB2312"/>
          <w:color w:val="000000" w:themeColor="text1"/>
          <w:sz w:val="32"/>
          <w:szCs w:val="32"/>
          <w14:textFill>
            <w14:solidFill>
              <w14:schemeClr w14:val="tx1"/>
            </w14:solidFill>
          </w14:textFill>
        </w:rPr>
      </w:pPr>
    </w:p>
    <w:p>
      <w:pPr>
        <w:pStyle w:val="3"/>
        <w:rPr>
          <w:rFonts w:hint="eastAsia" w:ascii="宋体" w:hAnsi="宋体" w:eastAsia="仿宋_GB2312"/>
          <w:color w:val="000000" w:themeColor="text1"/>
          <w:sz w:val="32"/>
          <w:szCs w:val="32"/>
          <w14:textFill>
            <w14:solidFill>
              <w14:schemeClr w14:val="tx1"/>
            </w14:solidFill>
          </w14:textFill>
        </w:rPr>
      </w:pPr>
    </w:p>
    <w:p>
      <w:pPr>
        <w:pStyle w:val="3"/>
        <w:rPr>
          <w:rFonts w:hint="eastAsia" w:ascii="宋体" w:hAnsi="宋体" w:eastAsia="仿宋_GB2312"/>
          <w:color w:val="000000" w:themeColor="text1"/>
          <w:sz w:val="32"/>
          <w:szCs w:val="32"/>
          <w14:textFill>
            <w14:solidFill>
              <w14:schemeClr w14:val="tx1"/>
            </w14:solidFill>
          </w14:textFill>
        </w:rPr>
      </w:pPr>
    </w:p>
    <w:p>
      <w:pPr>
        <w:pStyle w:val="3"/>
        <w:rPr>
          <w:rFonts w:hint="eastAsia" w:ascii="宋体" w:hAnsi="宋体" w:eastAsia="仿宋_GB2312"/>
          <w:color w:val="000000" w:themeColor="text1"/>
          <w:sz w:val="32"/>
          <w:szCs w:val="32"/>
          <w14:textFill>
            <w14:solidFill>
              <w14:schemeClr w14:val="tx1"/>
            </w14:solidFill>
          </w14:textFill>
        </w:rPr>
      </w:pPr>
    </w:p>
    <w:p>
      <w:pPr>
        <w:pStyle w:val="3"/>
        <w:rPr>
          <w:rFonts w:hint="eastAsia" w:ascii="宋体" w:hAnsi="宋体" w:eastAsia="仿宋_GB2312"/>
          <w:color w:val="000000" w:themeColor="text1"/>
          <w:sz w:val="32"/>
          <w:szCs w:val="32"/>
          <w14:textFill>
            <w14:solidFill>
              <w14:schemeClr w14:val="tx1"/>
            </w14:solidFill>
          </w14:textFill>
        </w:rPr>
      </w:pPr>
    </w:p>
    <w:p>
      <w:pPr>
        <w:pStyle w:val="3"/>
        <w:rPr>
          <w:rFonts w:hint="eastAsia" w:ascii="宋体" w:hAnsi="宋体" w:eastAsia="仿宋_GB2312"/>
          <w:color w:val="000000" w:themeColor="text1"/>
          <w:sz w:val="32"/>
          <w:szCs w:val="32"/>
          <w14:textFill>
            <w14:solidFill>
              <w14:schemeClr w14:val="tx1"/>
            </w14:solidFill>
          </w14:textFill>
        </w:rPr>
      </w:pPr>
    </w:p>
    <w:p>
      <w:pPr>
        <w:pStyle w:val="3"/>
        <w:rPr>
          <w:rFonts w:hint="eastAsia" w:ascii="宋体" w:hAnsi="宋体" w:eastAsia="仿宋_GB2312"/>
          <w:color w:val="000000" w:themeColor="text1"/>
          <w:sz w:val="32"/>
          <w:szCs w:val="32"/>
          <w14:textFill>
            <w14:solidFill>
              <w14:schemeClr w14:val="tx1"/>
            </w14:solidFill>
          </w14:textFill>
        </w:rPr>
      </w:pPr>
    </w:p>
    <w:p>
      <w:pPr>
        <w:pStyle w:val="3"/>
        <w:rPr>
          <w:rFonts w:hint="eastAsia" w:ascii="宋体" w:hAnsi="宋体" w:eastAsia="仿宋_GB2312"/>
          <w:color w:val="000000" w:themeColor="text1"/>
          <w:sz w:val="32"/>
          <w:szCs w:val="32"/>
          <w14:textFill>
            <w14:solidFill>
              <w14:schemeClr w14:val="tx1"/>
            </w14:solidFill>
          </w14:textFill>
        </w:rPr>
      </w:pPr>
    </w:p>
    <w:p>
      <w:pPr>
        <w:pStyle w:val="3"/>
        <w:rPr>
          <w:rFonts w:hint="eastAsia" w:ascii="宋体" w:hAnsi="宋体" w:eastAsia="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val="0"/>
        <w:topLinePunct w:val="0"/>
        <w:autoSpaceDE/>
        <w:autoSpaceDN/>
        <w:bidi w:val="0"/>
        <w:spacing w:line="564" w:lineRule="exact"/>
        <w:ind w:left="0" w:leftChars="0"/>
        <w:textAlignment w:val="auto"/>
        <w:rPr>
          <w:rFonts w:hint="eastAsia"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14:textFill>
            <w14:solidFill>
              <w14:schemeClr w14:val="tx1"/>
            </w14:solidFill>
          </w14:textFill>
        </w:rPr>
      </w:pPr>
      <w:r>
        <w:rPr>
          <w:rFonts w:ascii="宋体" w:hAnsi="宋体"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9525</wp:posOffset>
                </wp:positionV>
                <wp:extent cx="555053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fill on="f" focussize="0,0"/>
                <v:stroke weight="1.25pt" color="#000000" joinstyle="round"/>
                <v:imagedata o:title=""/>
                <o:lock v:ext="edit" aspectratio="f"/>
              </v:line>
            </w:pict>
          </mc:Fallback>
        </mc:AlternateContent>
      </w:r>
      <w:r>
        <w:rPr>
          <w:rFonts w:ascii="宋体" w:hAnsi="宋体" w:eastAsia="仿宋_GB2312" w:cs="仿宋_GB2312"/>
          <w:bCs/>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fill on="f" focussize="0,0"/>
                <v:stroke weight="0.737007874015748pt" color="#000000" joinstyle="round" endcap="square"/>
                <v:imagedata o:title=""/>
                <o:lock v:ext="edit" aspectratio="f"/>
              </v:line>
            </w:pict>
          </mc:Fallback>
        </mc:AlternateContent>
      </w:r>
      <w:r>
        <w:rPr>
          <w:rFonts w:hint="eastAsia" w:ascii="宋体" w:hAnsi="宋体" w:eastAsia="仿宋_GB2312" w:cs="仿宋_GB2312"/>
          <w:color w:val="000000" w:themeColor="text1"/>
          <w:sz w:val="32"/>
          <w:szCs w:val="32"/>
          <w14:textFill>
            <w14:solidFill>
              <w14:schemeClr w14:val="tx1"/>
            </w14:solidFill>
          </w14:textFill>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0NDBjZDllOWM3OWQ0MmZhNDM5NTEyY2Q3MTM1NzMifQ=="/>
  </w:docVars>
  <w:rsids>
    <w:rsidRoot w:val="00007517"/>
    <w:rsid w:val="00007517"/>
    <w:rsid w:val="002346E1"/>
    <w:rsid w:val="00255172"/>
    <w:rsid w:val="00316B87"/>
    <w:rsid w:val="00400D36"/>
    <w:rsid w:val="004C2E4C"/>
    <w:rsid w:val="00616AAF"/>
    <w:rsid w:val="006210F6"/>
    <w:rsid w:val="007F73D4"/>
    <w:rsid w:val="00915CEC"/>
    <w:rsid w:val="00A46B33"/>
    <w:rsid w:val="00F6675A"/>
    <w:rsid w:val="00F8490A"/>
    <w:rsid w:val="00FE4A8F"/>
    <w:rsid w:val="01BE7323"/>
    <w:rsid w:val="02CB39BE"/>
    <w:rsid w:val="082D5028"/>
    <w:rsid w:val="08925F6C"/>
    <w:rsid w:val="09F93BE8"/>
    <w:rsid w:val="0B482FB6"/>
    <w:rsid w:val="0B545C09"/>
    <w:rsid w:val="14166B55"/>
    <w:rsid w:val="142B16C9"/>
    <w:rsid w:val="16640A0D"/>
    <w:rsid w:val="16AA2F16"/>
    <w:rsid w:val="172962F6"/>
    <w:rsid w:val="1A584FD4"/>
    <w:rsid w:val="21675F05"/>
    <w:rsid w:val="284303A4"/>
    <w:rsid w:val="29714A4F"/>
    <w:rsid w:val="2B3B1564"/>
    <w:rsid w:val="2C4C254B"/>
    <w:rsid w:val="2D043784"/>
    <w:rsid w:val="2DEA1701"/>
    <w:rsid w:val="377F6AC2"/>
    <w:rsid w:val="3B895C72"/>
    <w:rsid w:val="3C6F49A1"/>
    <w:rsid w:val="3D4D486F"/>
    <w:rsid w:val="44335F67"/>
    <w:rsid w:val="453518CA"/>
    <w:rsid w:val="49731BA2"/>
    <w:rsid w:val="4A614D57"/>
    <w:rsid w:val="4B7F4632"/>
    <w:rsid w:val="4CF355F1"/>
    <w:rsid w:val="4DB903E1"/>
    <w:rsid w:val="4E3B65C9"/>
    <w:rsid w:val="4EE95509"/>
    <w:rsid w:val="50E277C7"/>
    <w:rsid w:val="52DC66B2"/>
    <w:rsid w:val="546B6D6A"/>
    <w:rsid w:val="5AF2406D"/>
    <w:rsid w:val="5E853545"/>
    <w:rsid w:val="5EC464BE"/>
    <w:rsid w:val="60FE75F3"/>
    <w:rsid w:val="61324365"/>
    <w:rsid w:val="641D2AA4"/>
    <w:rsid w:val="688B162E"/>
    <w:rsid w:val="6EA23531"/>
    <w:rsid w:val="741F1C00"/>
    <w:rsid w:val="78844420"/>
    <w:rsid w:val="7EBB6160"/>
    <w:rsid w:val="DACF5B96"/>
    <w:rsid w:val="FDEC65D1"/>
    <w:rsid w:val="FF9F33EB"/>
    <w:rsid w:val="FFCDEF32"/>
    <w:rsid w:val="FFEB31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Indent"/>
    <w:basedOn w:val="1"/>
    <w:qFormat/>
    <w:uiPriority w:val="0"/>
    <w:pPr>
      <w:ind w:firstLine="200" w:firstLineChars="200"/>
    </w:pPr>
    <w:rPr>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3238</Words>
  <Characters>3366</Characters>
  <Lines>24</Lines>
  <Paragraphs>6</Paragraphs>
  <TotalTime>0</TotalTime>
  <ScaleCrop>false</ScaleCrop>
  <LinksUpToDate>false</LinksUpToDate>
  <CharactersWithSpaces>3437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2023-11-02T15:31:00Z</dcterms:created>
  <dc:creator>admin</dc:creator>
  <cp:lastModifiedBy>lhq</cp:lastModifiedBy>
  <cp:lastPrinted>2023-12-07T11:10:00Z</cp:lastPrinted>
  <dcterms:modified xsi:type="dcterms:W3CDTF">2024-01-05T02:45:19Z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15CA02B972A042AFBD34D6F0EDCE37A6_13</vt:lpwstr>
  </property>
</Properties>
</file>