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〕6-12号</w:t>
      </w:r>
    </w:p>
    <w:p>
      <w:pPr>
        <w:keepNext w:val="0"/>
        <w:keepLines w:val="0"/>
        <w:pageBreakBefore w:val="0"/>
        <w:widowControl w:val="0"/>
        <w:kinsoku/>
        <w:wordWrap/>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当事人：孟州市路安二手车交易市场有限公司；</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统一社会信用代码：91410883MA47DUME87；</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住所：孟州市河阳办事处上作村8号；</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经营范围：二手车交易及市场管理服务、房屋及场地租赁。</w:t>
      </w:r>
    </w:p>
    <w:p>
      <w:pPr>
        <w:keepNext w:val="0"/>
        <w:keepLines w:val="0"/>
        <w:pageBreakBefore w:val="0"/>
        <w:widowControl w:val="0"/>
        <w:kinsoku/>
        <w:wordWrap/>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富捷、源通、瑞轩、天赐、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当事人是协会会员单位。在协议实施期间，当事人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按照协议以公示价格收取二手车交易服务费实施了固定或者变更商品价格的行为，并多次通过个人银行卡转账等形式上交资金或者收取补贴实施了分割销售市场的行为。</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经审计，当事人2021年度销售额为370,165.00</w:t>
      </w:r>
      <w:r>
        <w:rPr>
          <w:rFonts w:hint="eastAsia" w:ascii="宋体" w:hAnsi="宋体" w:eastAsia="仿宋_GB2312" w:cs="仿宋"/>
          <w:color w:val="000000" w:themeColor="text1"/>
          <w:sz w:val="32"/>
          <w:szCs w:val="32"/>
        </w:rPr>
        <w:t>元。</w:t>
      </w:r>
    </w:p>
    <w:p>
      <w:pPr>
        <w:pStyle w:val="2"/>
        <w:keepNext w:val="0"/>
        <w:keepLines w:val="0"/>
        <w:pageBreakBefore w:val="0"/>
        <w:widowControl w:val="0"/>
        <w:kinsoku/>
        <w:wordWrap/>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第三组证据：当事人交纳会费和保证金的相关财务凭证复印件，协会第二届会员大会签到表及会议纪要，当事人的相关情况说明，证明当事人的协会会员身份和交纳保证金的事实。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第四组证据：当事人相关销售台账，证明当事人实施固定或者变更商品价格的事实。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第五组证据：当事人银行卡流水的情况说明、当事人与协会资金往来记录汇总等情况说明，证明当事人实施分割销售市场的事实。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第六组证据：当事人法定代表人、协会相关负责人的询问笔录，当事人关于销售额的情况说明，证明当事人参与达成并实施固定或者变更商品价格、分割销售市场的事实。</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第七组证据：会计师事务所出具的当事人财务审计报告，证明当事人2021年度销售额和无法计算违法所得的情况。</w:t>
      </w:r>
    </w:p>
    <w:p>
      <w:pPr>
        <w:keepNext w:val="0"/>
        <w:keepLines w:val="0"/>
        <w:pageBreakBefore w:val="0"/>
        <w:widowControl w:val="0"/>
        <w:kinsoku/>
        <w:wordWrap/>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（二）处2021年度销售额370,165.00元2%的罚款，计7,403.30元（</w:t>
      </w:r>
      <w:r>
        <w:rPr>
          <w:rFonts w:hint="eastAsia" w:ascii="宋体" w:hAnsi="宋体" w:eastAsia="仿宋_GB2312" w:cs="仿宋_GB2312"/>
          <w:color w:val="000000" w:themeColor="text1"/>
          <w:sz w:val="32"/>
          <w:szCs w:val="32"/>
          <w:lang w:eastAsia="zh-CN"/>
        </w:rPr>
        <w:t>大写：人民币</w:t>
      </w:r>
      <w:r>
        <w:rPr>
          <w:rFonts w:hint="eastAsia" w:ascii="宋体" w:hAnsi="宋体" w:eastAsia="仿宋_GB2312" w:cs="仿宋_GB2312"/>
          <w:color w:val="000000" w:themeColor="text1"/>
          <w:sz w:val="32"/>
          <w:szCs w:val="32"/>
        </w:rPr>
        <w:t>柒仟肆佰零叁元叁角零分）。</w:t>
      </w:r>
    </w:p>
    <w:p>
      <w:pPr>
        <w:keepNext w:val="0"/>
        <w:keepLines w:val="0"/>
        <w:pageBreakBefore w:val="0"/>
        <w:widowControl w:val="0"/>
        <w:kinsoku/>
        <w:wordWrap/>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B90F27"/>
    <w:rsid w:val="00253D69"/>
    <w:rsid w:val="00282C65"/>
    <w:rsid w:val="002A3170"/>
    <w:rsid w:val="00343D38"/>
    <w:rsid w:val="007858A8"/>
    <w:rsid w:val="00B90F27"/>
    <w:rsid w:val="00E41A61"/>
    <w:rsid w:val="00E84C2E"/>
    <w:rsid w:val="012218EA"/>
    <w:rsid w:val="06A61532"/>
    <w:rsid w:val="114710E3"/>
    <w:rsid w:val="13BD67D9"/>
    <w:rsid w:val="248001D4"/>
    <w:rsid w:val="32E75AA2"/>
    <w:rsid w:val="33154392"/>
    <w:rsid w:val="357910D7"/>
    <w:rsid w:val="359400F7"/>
    <w:rsid w:val="4F91336E"/>
    <w:rsid w:val="55881946"/>
    <w:rsid w:val="57C5769A"/>
    <w:rsid w:val="60B9384A"/>
    <w:rsid w:val="680C29F1"/>
    <w:rsid w:val="6B7319ED"/>
    <w:rsid w:val="7DF34C50"/>
    <w:rsid w:val="7FFF2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2896</Words>
  <Characters>3009</Characters>
  <Lines>22</Lines>
  <Paragraphs>6</Paragraphs>
  <TotalTime>0</TotalTime>
  <ScaleCrop>false</ScaleCrop>
  <LinksUpToDate>false</LinksUpToDate>
  <CharactersWithSpaces>3078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2023-12-20T03:10:00Z</cp:lastPrinted>
  <dcterms:modified xsi:type="dcterms:W3CDTF">2024-01-05T02:46:33Z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