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51BF" w14:textId="1A77F5CD" w:rsidR="00D92E0B" w:rsidRPr="008A3B57" w:rsidRDefault="00C36D6F" w:rsidP="0049556B">
      <w:pPr>
        <w:spacing w:after="120" w:line="440" w:lineRule="exact"/>
        <w:jc w:val="center"/>
        <w:rPr>
          <w:b/>
          <w:sz w:val="22"/>
          <w:szCs w:val="22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457"/>
        <w:gridCol w:w="5812"/>
      </w:tblGrid>
      <w:tr w:rsidR="00D92E0B" w:rsidRPr="00537F1C" w14:paraId="32526E1A" w14:textId="77777777" w:rsidTr="009854C6">
        <w:trPr>
          <w:trHeight w:val="282"/>
          <w:jc w:val="center"/>
        </w:trPr>
        <w:tc>
          <w:tcPr>
            <w:tcW w:w="1940" w:type="dxa"/>
            <w:shd w:val="clear" w:color="auto" w:fill="D9D9D9"/>
            <w:vAlign w:val="center"/>
          </w:tcPr>
          <w:p w14:paraId="6BA1ED57" w14:textId="77777777" w:rsidR="00D92E0B" w:rsidRPr="00537F1C" w:rsidRDefault="00D92E0B" w:rsidP="002D0DAF">
            <w:pPr>
              <w:pStyle w:val="BodyText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537F1C">
              <w:rPr>
                <w:rFonts w:cs="Times New Roman"/>
                <w:sz w:val="22"/>
                <w:szCs w:val="22"/>
                <w:lang w:val="en-GB"/>
              </w:rPr>
              <w:t>案件名称</w:t>
            </w:r>
            <w:proofErr w:type="spellEnd"/>
          </w:p>
        </w:tc>
        <w:tc>
          <w:tcPr>
            <w:tcW w:w="7269" w:type="dxa"/>
            <w:gridSpan w:val="2"/>
            <w:shd w:val="clear" w:color="auto" w:fill="auto"/>
          </w:tcPr>
          <w:p w14:paraId="3E1B2475" w14:textId="339F4334" w:rsidR="00D92E0B" w:rsidRPr="00537F1C" w:rsidRDefault="0013797D" w:rsidP="00CE27DE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537F1C">
              <w:rPr>
                <w:rFonts w:ascii="Times" w:hAnsi="Times" w:hint="eastAsia"/>
                <w:sz w:val="22"/>
                <w:szCs w:val="22"/>
              </w:rPr>
              <w:t>三井物产株式会社与乐敦制药株式会社收购</w:t>
            </w:r>
            <w:proofErr w:type="gramStart"/>
            <w:r w:rsidRPr="00537F1C">
              <w:rPr>
                <w:rFonts w:ascii="Times" w:hAnsi="Times" w:hint="eastAsia"/>
                <w:sz w:val="22"/>
                <w:szCs w:val="22"/>
              </w:rPr>
              <w:t>余仁生国际</w:t>
            </w:r>
            <w:proofErr w:type="gramEnd"/>
            <w:r w:rsidRPr="00537F1C">
              <w:rPr>
                <w:rFonts w:ascii="Times" w:hAnsi="Times" w:hint="eastAsia"/>
                <w:sz w:val="22"/>
                <w:szCs w:val="22"/>
              </w:rPr>
              <w:t>有限公司股权案</w:t>
            </w:r>
          </w:p>
        </w:tc>
      </w:tr>
      <w:tr w:rsidR="00D92E0B" w:rsidRPr="00537F1C" w14:paraId="4127C9F4" w14:textId="77777777" w:rsidTr="005A7D2A">
        <w:trPr>
          <w:trHeight w:val="993"/>
          <w:jc w:val="center"/>
        </w:trPr>
        <w:tc>
          <w:tcPr>
            <w:tcW w:w="1940" w:type="dxa"/>
            <w:shd w:val="clear" w:color="auto" w:fill="D9D9D9"/>
          </w:tcPr>
          <w:p w14:paraId="1F56ADDE" w14:textId="77777777" w:rsidR="00D92E0B" w:rsidRPr="00537F1C" w:rsidRDefault="00D92E0B" w:rsidP="002D0DAF">
            <w:pPr>
              <w:pStyle w:val="BodyText"/>
              <w:rPr>
                <w:rFonts w:cs="Times New Roman"/>
                <w:sz w:val="22"/>
                <w:szCs w:val="22"/>
                <w:lang w:val="en-US" w:eastAsia="zh-CN"/>
              </w:rPr>
            </w:pP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交易概况（限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200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字内）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7DFBD503" w14:textId="54EFD535" w:rsidR="009A2175" w:rsidRPr="00537F1C" w:rsidRDefault="00284698" w:rsidP="001B2514">
            <w:pPr>
              <w:pStyle w:val="BodyText"/>
              <w:adjustRightInd w:val="0"/>
              <w:snapToGrid w:val="0"/>
              <w:spacing w:after="0"/>
              <w:rPr>
                <w:sz w:val="22"/>
                <w:szCs w:val="22"/>
                <w:lang w:eastAsia="zh-CN"/>
              </w:rPr>
            </w:pPr>
            <w:r w:rsidRPr="00537F1C">
              <w:rPr>
                <w:rFonts w:hint="eastAsia"/>
                <w:sz w:val="22"/>
                <w:szCs w:val="22"/>
              </w:rPr>
              <w:t>根据</w:t>
            </w:r>
            <w:r w:rsidRPr="00AE2240">
              <w:rPr>
                <w:rFonts w:hint="eastAsia"/>
                <w:sz w:val="22"/>
                <w:szCs w:val="22"/>
              </w:rPr>
              <w:t>2024</w:t>
            </w:r>
            <w:r w:rsidRPr="00AE2240">
              <w:rPr>
                <w:rFonts w:hint="eastAsia"/>
                <w:sz w:val="22"/>
                <w:szCs w:val="22"/>
              </w:rPr>
              <w:t>年</w:t>
            </w:r>
            <w:r w:rsidRPr="00AE2240">
              <w:rPr>
                <w:rFonts w:hint="eastAsia"/>
                <w:sz w:val="22"/>
                <w:szCs w:val="22"/>
              </w:rPr>
              <w:t>4</w:t>
            </w:r>
            <w:r w:rsidRPr="00AE2240">
              <w:rPr>
                <w:rFonts w:hint="eastAsia"/>
                <w:sz w:val="22"/>
                <w:szCs w:val="22"/>
              </w:rPr>
              <w:t>月</w:t>
            </w:r>
            <w:r w:rsidRPr="00FC68A3">
              <w:rPr>
                <w:rFonts w:hint="eastAsia"/>
                <w:sz w:val="22"/>
                <w:szCs w:val="22"/>
              </w:rPr>
              <w:t>4</w:t>
            </w:r>
            <w:r w:rsidRPr="00AE2240">
              <w:rPr>
                <w:rFonts w:hint="eastAsia"/>
                <w:sz w:val="22"/>
                <w:szCs w:val="22"/>
              </w:rPr>
              <w:t>日</w:t>
            </w:r>
            <w:r w:rsidRPr="00537F1C">
              <w:rPr>
                <w:rFonts w:hint="eastAsia"/>
                <w:sz w:val="22"/>
                <w:szCs w:val="22"/>
              </w:rPr>
              <w:t>签署的</w:t>
            </w:r>
            <w:r w:rsidR="00FC68A3">
              <w:rPr>
                <w:rFonts w:hint="eastAsia"/>
                <w:sz w:val="22"/>
                <w:szCs w:val="22"/>
              </w:rPr>
              <w:t>《</w:t>
            </w:r>
            <w:r w:rsidRPr="00537F1C">
              <w:rPr>
                <w:rFonts w:hint="eastAsia"/>
                <w:sz w:val="22"/>
                <w:szCs w:val="22"/>
              </w:rPr>
              <w:t>股份购买协议</w:t>
            </w:r>
            <w:r w:rsidR="00FC68A3">
              <w:rPr>
                <w:rFonts w:hint="eastAsia"/>
                <w:sz w:val="22"/>
                <w:szCs w:val="22"/>
              </w:rPr>
              <w:t>》</w:t>
            </w:r>
            <w:r w:rsidRPr="00537F1C">
              <w:rPr>
                <w:rFonts w:hint="eastAsia"/>
                <w:sz w:val="22"/>
                <w:szCs w:val="22"/>
              </w:rPr>
              <w:t>，</w:t>
            </w:r>
            <w:r w:rsidR="004B7EBA" w:rsidRPr="00537F1C">
              <w:rPr>
                <w:rFonts w:hint="eastAsia"/>
                <w:sz w:val="22"/>
                <w:szCs w:val="22"/>
              </w:rPr>
              <w:t>三井物产株式会社</w:t>
            </w:r>
            <w:proofErr w:type="gramStart"/>
            <w:r w:rsidR="004B7EBA" w:rsidRPr="00537F1C">
              <w:rPr>
                <w:rFonts w:hint="eastAsia"/>
                <w:sz w:val="22"/>
                <w:szCs w:val="22"/>
              </w:rPr>
              <w:t>（“</w:t>
            </w:r>
            <w:proofErr w:type="gramEnd"/>
            <w:r w:rsidR="004B7EBA" w:rsidRPr="00537F1C">
              <w:rPr>
                <w:rFonts w:hint="eastAsia"/>
                <w:b/>
                <w:bCs/>
                <w:sz w:val="22"/>
                <w:szCs w:val="22"/>
              </w:rPr>
              <w:t>三井物产</w:t>
            </w:r>
            <w:r w:rsidR="004B7EBA" w:rsidRPr="00537F1C">
              <w:rPr>
                <w:rFonts w:hint="eastAsia"/>
                <w:sz w:val="22"/>
                <w:szCs w:val="22"/>
              </w:rPr>
              <w:t>”）</w:t>
            </w:r>
            <w:r w:rsidRPr="00537F1C">
              <w:rPr>
                <w:rFonts w:hint="eastAsia"/>
                <w:sz w:val="22"/>
                <w:szCs w:val="22"/>
              </w:rPr>
              <w:t>和</w:t>
            </w:r>
            <w:r w:rsidR="00BE0688" w:rsidRPr="00537F1C">
              <w:rPr>
                <w:rFonts w:hint="eastAsia"/>
                <w:sz w:val="22"/>
                <w:szCs w:val="22"/>
              </w:rPr>
              <w:t>乐敦制药株式会社（“</w:t>
            </w:r>
            <w:r w:rsidR="00BE0688" w:rsidRPr="00537F1C">
              <w:rPr>
                <w:rFonts w:hint="eastAsia"/>
                <w:b/>
                <w:bCs/>
                <w:sz w:val="22"/>
                <w:szCs w:val="22"/>
              </w:rPr>
              <w:t>乐敦</w:t>
            </w:r>
            <w:r w:rsidR="00BE0688" w:rsidRPr="00537F1C">
              <w:rPr>
                <w:rFonts w:hint="eastAsia"/>
                <w:sz w:val="22"/>
                <w:szCs w:val="22"/>
              </w:rPr>
              <w:t>”）</w:t>
            </w:r>
            <w:r w:rsidR="00FC68A3">
              <w:rPr>
                <w:rFonts w:hint="eastAsia"/>
                <w:sz w:val="22"/>
                <w:szCs w:val="22"/>
              </w:rPr>
              <w:t>拟</w:t>
            </w:r>
            <w:r w:rsidR="00063A2F">
              <w:rPr>
                <w:rFonts w:hint="eastAsia"/>
                <w:sz w:val="22"/>
                <w:szCs w:val="22"/>
              </w:rPr>
              <w:t>通过</w:t>
            </w:r>
            <w:r w:rsidR="00FC68A3">
              <w:rPr>
                <w:rFonts w:hint="eastAsia"/>
                <w:sz w:val="22"/>
                <w:szCs w:val="22"/>
              </w:rPr>
              <w:t>将</w:t>
            </w:r>
            <w:r w:rsidR="000E7D23">
              <w:rPr>
                <w:rFonts w:hint="eastAsia"/>
                <w:sz w:val="22"/>
                <w:szCs w:val="22"/>
              </w:rPr>
              <w:t>由两者</w:t>
            </w:r>
            <w:r w:rsidR="00BE0688" w:rsidRPr="00537F1C">
              <w:rPr>
                <w:rFonts w:hint="eastAsia"/>
                <w:sz w:val="22"/>
                <w:szCs w:val="22"/>
              </w:rPr>
              <w:t>共同</w:t>
            </w:r>
            <w:r w:rsidRPr="00537F1C">
              <w:rPr>
                <w:rFonts w:hint="eastAsia"/>
                <w:sz w:val="22"/>
                <w:szCs w:val="22"/>
              </w:rPr>
              <w:t>控制的特殊目的公司</w:t>
            </w:r>
            <w:r w:rsidR="009D0DC9">
              <w:rPr>
                <w:rFonts w:hint="eastAsia"/>
                <w:sz w:val="22"/>
                <w:szCs w:val="22"/>
              </w:rPr>
              <w:t>，</w:t>
            </w:r>
            <w:r w:rsidRPr="00537F1C">
              <w:rPr>
                <w:rFonts w:hint="eastAsia"/>
                <w:sz w:val="22"/>
                <w:szCs w:val="22"/>
              </w:rPr>
              <w:t>以现金要约的方式收购</w:t>
            </w:r>
            <w:r w:rsidR="00FC68A3" w:rsidRPr="009E77AB">
              <w:rPr>
                <w:kern w:val="2"/>
              </w:rPr>
              <w:t>Righteous Crane Holdings Pte</w:t>
            </w:r>
            <w:r w:rsidR="00FC68A3">
              <w:rPr>
                <w:kern w:val="2"/>
              </w:rPr>
              <w:t>.</w:t>
            </w:r>
            <w:r w:rsidR="00FC68A3" w:rsidRPr="009E77AB">
              <w:rPr>
                <w:kern w:val="2"/>
              </w:rPr>
              <w:t xml:space="preserve"> Ltd.</w:t>
            </w:r>
            <w:r w:rsidRPr="00537F1C">
              <w:rPr>
                <w:rFonts w:hint="eastAsia"/>
                <w:sz w:val="22"/>
                <w:szCs w:val="22"/>
              </w:rPr>
              <w:t>（“</w:t>
            </w:r>
            <w:proofErr w:type="spellStart"/>
            <w:r w:rsidR="00FC68A3" w:rsidRPr="00FC68A3">
              <w:rPr>
                <w:rFonts w:hint="eastAsia"/>
                <w:b/>
                <w:bCs/>
                <w:sz w:val="22"/>
                <w:szCs w:val="22"/>
              </w:rPr>
              <w:t>RCH</w:t>
            </w:r>
            <w:r w:rsidR="00FC68A3" w:rsidRPr="00FC68A3">
              <w:rPr>
                <w:rFonts w:hint="eastAsia"/>
                <w:b/>
                <w:bCs/>
                <w:sz w:val="22"/>
                <w:szCs w:val="22"/>
              </w:rPr>
              <w:t>公司</w:t>
            </w:r>
            <w:proofErr w:type="spellEnd"/>
            <w:r w:rsidRPr="00537F1C">
              <w:rPr>
                <w:rFonts w:hint="eastAsia"/>
                <w:sz w:val="22"/>
                <w:szCs w:val="22"/>
              </w:rPr>
              <w:t>”）</w:t>
            </w:r>
            <w:proofErr w:type="spellStart"/>
            <w:r w:rsidRPr="00537F1C">
              <w:rPr>
                <w:rFonts w:hint="eastAsia"/>
                <w:sz w:val="22"/>
                <w:szCs w:val="22"/>
              </w:rPr>
              <w:t>持有</w:t>
            </w:r>
            <w:r w:rsidR="00441029" w:rsidRPr="00537F1C">
              <w:rPr>
                <w:rFonts w:hint="eastAsia"/>
                <w:sz w:val="22"/>
                <w:szCs w:val="22"/>
              </w:rPr>
              <w:t>的</w:t>
            </w:r>
            <w:r w:rsidR="004D7DB8" w:rsidRPr="00537F1C">
              <w:rPr>
                <w:rFonts w:hint="eastAsia"/>
                <w:sz w:val="22"/>
                <w:szCs w:val="22"/>
              </w:rPr>
              <w:t>余仁生国际有限公司</w:t>
            </w:r>
            <w:proofErr w:type="spellEnd"/>
            <w:r w:rsidR="004D7DB8" w:rsidRPr="00537F1C">
              <w:rPr>
                <w:rFonts w:hint="eastAsia"/>
                <w:sz w:val="22"/>
                <w:szCs w:val="22"/>
              </w:rPr>
              <w:t>（“</w:t>
            </w:r>
            <w:proofErr w:type="spellStart"/>
            <w:r w:rsidR="004D7DB8" w:rsidRPr="00537F1C">
              <w:rPr>
                <w:rFonts w:hint="eastAsia"/>
                <w:b/>
                <w:bCs/>
                <w:sz w:val="22"/>
                <w:szCs w:val="22"/>
              </w:rPr>
              <w:t>余仁生国际</w:t>
            </w:r>
            <w:proofErr w:type="spellEnd"/>
            <w:r w:rsidR="004D7DB8" w:rsidRPr="00537F1C">
              <w:rPr>
                <w:rFonts w:hint="eastAsia"/>
                <w:sz w:val="22"/>
                <w:szCs w:val="22"/>
              </w:rPr>
              <w:t>”）</w:t>
            </w:r>
            <w:proofErr w:type="spellStart"/>
            <w:r w:rsidR="00FC68A3">
              <w:rPr>
                <w:rFonts w:hint="eastAsia"/>
                <w:sz w:val="22"/>
                <w:szCs w:val="22"/>
              </w:rPr>
              <w:t>的</w:t>
            </w:r>
            <w:r w:rsidRPr="00537F1C">
              <w:rPr>
                <w:rFonts w:hint="eastAsia"/>
                <w:sz w:val="22"/>
                <w:szCs w:val="22"/>
              </w:rPr>
              <w:t>约</w:t>
            </w:r>
            <w:proofErr w:type="spellEnd"/>
            <w:r w:rsidRPr="00537F1C">
              <w:rPr>
                <w:rFonts w:hint="eastAsia"/>
                <w:sz w:val="22"/>
                <w:szCs w:val="22"/>
              </w:rPr>
              <w:t>86%</w:t>
            </w:r>
            <w:r w:rsidRPr="00537F1C">
              <w:rPr>
                <w:rFonts w:hint="eastAsia"/>
                <w:sz w:val="22"/>
                <w:szCs w:val="22"/>
              </w:rPr>
              <w:t>的股份。</w:t>
            </w:r>
            <w:r w:rsidR="00C36D6F" w:rsidRPr="00C36D6F">
              <w:rPr>
                <w:rFonts w:hint="eastAsia"/>
                <w:sz w:val="22"/>
                <w:szCs w:val="22"/>
                <w:lang w:eastAsia="zh-CN"/>
              </w:rPr>
              <w:t>余仁生国际</w:t>
            </w:r>
            <w:r w:rsidR="00C36D6F">
              <w:rPr>
                <w:rFonts w:hint="eastAsia"/>
                <w:sz w:val="22"/>
                <w:szCs w:val="22"/>
                <w:lang w:eastAsia="zh-CN"/>
              </w:rPr>
              <w:t>主要</w:t>
            </w:r>
            <w:r w:rsidR="00C36D6F" w:rsidRPr="00C36D6F">
              <w:rPr>
                <w:rFonts w:hint="eastAsia"/>
                <w:sz w:val="22"/>
                <w:szCs w:val="22"/>
                <w:lang w:eastAsia="zh-CN"/>
              </w:rPr>
              <w:t>生产和销售</w:t>
            </w:r>
            <w:r w:rsidR="00FF340A"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中药保健食品</w:t>
            </w:r>
            <w:r w:rsidR="00BD1666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 w:rsidR="00BD1666"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中药滋补食品</w:t>
            </w:r>
            <w:r w:rsidR="00BD1666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等含有中药成分的产品</w:t>
            </w:r>
            <w:r w:rsidR="00C36D6F">
              <w:rPr>
                <w:rFonts w:hint="eastAsia"/>
                <w:sz w:val="22"/>
                <w:szCs w:val="22"/>
                <w:lang w:eastAsia="zh-CN"/>
              </w:rPr>
              <w:t>。</w:t>
            </w:r>
            <w:r w:rsidR="00A92C55" w:rsidRPr="00537F1C">
              <w:rPr>
                <w:rFonts w:hint="eastAsia"/>
                <w:sz w:val="22"/>
                <w:szCs w:val="22"/>
                <w:lang w:eastAsia="zh-CN"/>
              </w:rPr>
              <w:t>交易前，</w:t>
            </w:r>
            <w:proofErr w:type="spellStart"/>
            <w:r w:rsidR="00B766F4" w:rsidRPr="00B766F4">
              <w:rPr>
                <w:rFonts w:hint="eastAsia"/>
                <w:sz w:val="22"/>
                <w:szCs w:val="22"/>
                <w:lang w:eastAsia="zh-CN"/>
              </w:rPr>
              <w:t>RCH</w:t>
            </w:r>
            <w:r w:rsidR="00B766F4">
              <w:rPr>
                <w:rFonts w:hint="eastAsia"/>
                <w:sz w:val="22"/>
                <w:szCs w:val="22"/>
                <w:lang w:eastAsia="zh-CN"/>
              </w:rPr>
              <w:t>公司</w:t>
            </w:r>
            <w:r w:rsidR="00B766F4" w:rsidRPr="00B766F4">
              <w:rPr>
                <w:rFonts w:hint="eastAsia"/>
                <w:sz w:val="22"/>
                <w:szCs w:val="22"/>
                <w:lang w:eastAsia="zh-CN"/>
              </w:rPr>
              <w:t>持有</w:t>
            </w:r>
            <w:r w:rsidR="00A92C55" w:rsidRPr="00B766F4">
              <w:rPr>
                <w:rFonts w:hint="eastAsia"/>
                <w:sz w:val="22"/>
                <w:szCs w:val="22"/>
                <w:lang w:eastAsia="zh-CN"/>
              </w:rPr>
              <w:t>余仁生国际</w:t>
            </w:r>
            <w:r w:rsidR="00B766F4" w:rsidRPr="00B766F4">
              <w:rPr>
                <w:rFonts w:hint="eastAsia"/>
                <w:sz w:val="22"/>
                <w:szCs w:val="22"/>
                <w:lang w:eastAsia="zh-CN"/>
              </w:rPr>
              <w:t>约</w:t>
            </w:r>
            <w:proofErr w:type="spellEnd"/>
            <w:r w:rsidR="00B766F4" w:rsidRPr="00B766F4">
              <w:rPr>
                <w:rFonts w:hint="eastAsia"/>
                <w:sz w:val="22"/>
                <w:szCs w:val="22"/>
                <w:lang w:eastAsia="zh-CN"/>
              </w:rPr>
              <w:t>8</w:t>
            </w:r>
            <w:r w:rsidR="00B766F4" w:rsidRPr="00B766F4">
              <w:rPr>
                <w:sz w:val="22"/>
                <w:szCs w:val="22"/>
                <w:lang w:eastAsia="zh-CN"/>
              </w:rPr>
              <w:t>6%</w:t>
            </w:r>
            <w:r w:rsidR="00B766F4" w:rsidRPr="00B766F4">
              <w:rPr>
                <w:rFonts w:hint="eastAsia"/>
                <w:sz w:val="22"/>
                <w:szCs w:val="22"/>
                <w:lang w:eastAsia="zh-CN"/>
              </w:rPr>
              <w:t>的股份，余仁生国际</w:t>
            </w:r>
            <w:r w:rsidR="00A92C55" w:rsidRPr="00B766F4">
              <w:rPr>
                <w:rFonts w:hint="eastAsia"/>
                <w:sz w:val="22"/>
                <w:szCs w:val="22"/>
                <w:lang w:eastAsia="zh-CN"/>
              </w:rPr>
              <w:t>由</w:t>
            </w:r>
            <w:proofErr w:type="spellStart"/>
            <w:r w:rsidR="00FC68A3" w:rsidRPr="00B766F4">
              <w:rPr>
                <w:rFonts w:hint="eastAsia"/>
                <w:sz w:val="22"/>
                <w:szCs w:val="22"/>
                <w:lang w:eastAsia="zh-CN"/>
              </w:rPr>
              <w:t>RCH</w:t>
            </w:r>
            <w:r w:rsidR="00FC68A3" w:rsidRPr="00B766F4">
              <w:rPr>
                <w:rFonts w:hint="eastAsia"/>
                <w:sz w:val="22"/>
                <w:szCs w:val="22"/>
                <w:lang w:eastAsia="zh-CN"/>
              </w:rPr>
              <w:t>公司</w:t>
            </w:r>
            <w:r w:rsidR="00A92C55" w:rsidRPr="00B766F4">
              <w:rPr>
                <w:rFonts w:hint="eastAsia"/>
                <w:sz w:val="22"/>
                <w:szCs w:val="22"/>
                <w:lang w:eastAsia="zh-CN"/>
              </w:rPr>
              <w:t>单独控制。交易后，</w:t>
            </w:r>
            <w:r w:rsidR="001A37ED">
              <w:rPr>
                <w:rFonts w:hint="eastAsia"/>
                <w:sz w:val="22"/>
                <w:szCs w:val="22"/>
                <w:lang w:eastAsia="zh-CN"/>
              </w:rPr>
              <w:t>由</w:t>
            </w:r>
            <w:r w:rsidR="00B766F4" w:rsidRPr="00B766F4">
              <w:rPr>
                <w:rFonts w:hint="eastAsia"/>
                <w:sz w:val="22"/>
                <w:szCs w:val="22"/>
                <w:lang w:eastAsia="zh-CN"/>
              </w:rPr>
              <w:t>三井物产和乐敦制药共同控制</w:t>
            </w:r>
            <w:r w:rsidR="00B766F4">
              <w:rPr>
                <w:rFonts w:hint="eastAsia"/>
                <w:sz w:val="22"/>
                <w:szCs w:val="22"/>
                <w:lang w:eastAsia="zh-CN"/>
              </w:rPr>
              <w:t>的特殊</w:t>
            </w:r>
            <w:r w:rsidR="00B766F4" w:rsidRPr="00537F1C">
              <w:rPr>
                <w:rFonts w:hint="eastAsia"/>
                <w:sz w:val="22"/>
                <w:szCs w:val="22"/>
                <w:lang w:eastAsia="zh-CN"/>
              </w:rPr>
              <w:t>目的</w:t>
            </w:r>
            <w:r w:rsidR="00B766F4">
              <w:rPr>
                <w:rFonts w:hint="eastAsia"/>
                <w:sz w:val="22"/>
                <w:szCs w:val="22"/>
                <w:lang w:eastAsia="zh-CN"/>
              </w:rPr>
              <w:t>公司</w:t>
            </w:r>
            <w:r w:rsidR="001A37ED">
              <w:rPr>
                <w:rFonts w:hint="eastAsia"/>
                <w:sz w:val="22"/>
                <w:szCs w:val="22"/>
                <w:lang w:eastAsia="zh-CN"/>
              </w:rPr>
              <w:t>将</w:t>
            </w:r>
            <w:r w:rsidR="00B766F4">
              <w:rPr>
                <w:rFonts w:hint="eastAsia"/>
                <w:sz w:val="22"/>
                <w:szCs w:val="22"/>
                <w:lang w:eastAsia="zh-CN"/>
              </w:rPr>
              <w:t>持有</w:t>
            </w:r>
            <w:r w:rsidR="00A92C55" w:rsidRPr="00B766F4">
              <w:rPr>
                <w:rFonts w:hint="eastAsia"/>
                <w:sz w:val="22"/>
                <w:szCs w:val="22"/>
                <w:lang w:eastAsia="zh-CN"/>
              </w:rPr>
              <w:t>余仁生国际</w:t>
            </w:r>
            <w:r w:rsidR="00B766F4" w:rsidRPr="00B766F4">
              <w:rPr>
                <w:rFonts w:hint="eastAsia"/>
                <w:sz w:val="22"/>
                <w:szCs w:val="22"/>
                <w:lang w:eastAsia="zh-CN"/>
              </w:rPr>
              <w:t>约</w:t>
            </w:r>
            <w:proofErr w:type="spellEnd"/>
            <w:r w:rsidR="00B766F4" w:rsidRPr="00B766F4">
              <w:rPr>
                <w:rFonts w:hint="eastAsia"/>
                <w:sz w:val="22"/>
                <w:szCs w:val="22"/>
                <w:lang w:eastAsia="zh-CN"/>
              </w:rPr>
              <w:t>8</w:t>
            </w:r>
            <w:r w:rsidR="00B766F4" w:rsidRPr="00B766F4">
              <w:rPr>
                <w:sz w:val="22"/>
                <w:szCs w:val="22"/>
                <w:lang w:eastAsia="zh-CN"/>
              </w:rPr>
              <w:t>6%</w:t>
            </w:r>
            <w:r w:rsidR="00B766F4" w:rsidRPr="00B766F4">
              <w:rPr>
                <w:rFonts w:hint="eastAsia"/>
                <w:sz w:val="22"/>
                <w:szCs w:val="22"/>
                <w:lang w:eastAsia="zh-CN"/>
              </w:rPr>
              <w:t>的股份</w:t>
            </w:r>
            <w:r w:rsidR="00B766F4">
              <w:rPr>
                <w:rFonts w:hint="eastAsia"/>
                <w:sz w:val="22"/>
                <w:szCs w:val="22"/>
                <w:lang w:eastAsia="zh-CN"/>
              </w:rPr>
              <w:t>，</w:t>
            </w:r>
            <w:r w:rsidR="00B766F4" w:rsidRPr="00B766F4">
              <w:rPr>
                <w:rFonts w:hint="eastAsia"/>
                <w:sz w:val="22"/>
                <w:szCs w:val="22"/>
                <w:lang w:eastAsia="zh-CN"/>
              </w:rPr>
              <w:t>余仁生国际</w:t>
            </w:r>
            <w:r w:rsidR="00A92C55" w:rsidRPr="00B766F4">
              <w:rPr>
                <w:rFonts w:hint="eastAsia"/>
                <w:sz w:val="22"/>
                <w:szCs w:val="22"/>
                <w:lang w:eastAsia="zh-CN"/>
              </w:rPr>
              <w:t>将由三井物产和乐敦制药共同控制。</w:t>
            </w:r>
          </w:p>
        </w:tc>
      </w:tr>
      <w:tr w:rsidR="00221EED" w:rsidRPr="00537F1C" w14:paraId="449D58B8" w14:textId="77777777" w:rsidTr="00221EED">
        <w:trPr>
          <w:trHeight w:val="1487"/>
          <w:jc w:val="center"/>
        </w:trPr>
        <w:tc>
          <w:tcPr>
            <w:tcW w:w="1940" w:type="dxa"/>
            <w:vMerge w:val="restart"/>
            <w:shd w:val="clear" w:color="auto" w:fill="D9D9D9"/>
          </w:tcPr>
          <w:p w14:paraId="2E7B64D7" w14:textId="77777777" w:rsidR="00221EED" w:rsidRPr="00537F1C" w:rsidRDefault="00221EED" w:rsidP="002D0DAF">
            <w:pPr>
              <w:pStyle w:val="BodyText"/>
              <w:rPr>
                <w:rFonts w:cs="Times New Roman"/>
                <w:sz w:val="22"/>
                <w:szCs w:val="22"/>
                <w:lang w:val="en-US" w:eastAsia="zh-CN"/>
              </w:rPr>
            </w:pP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参与集中的经营者简介</w:t>
            </w:r>
          </w:p>
        </w:tc>
        <w:tc>
          <w:tcPr>
            <w:tcW w:w="1457" w:type="dxa"/>
            <w:shd w:val="clear" w:color="auto" w:fill="auto"/>
          </w:tcPr>
          <w:p w14:paraId="4ED865B8" w14:textId="6F86878F" w:rsidR="00221EED" w:rsidRPr="00537F1C" w:rsidRDefault="00221EED" w:rsidP="007535D1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537F1C">
              <w:rPr>
                <w:rFonts w:ascii="Times" w:hAnsi="Times" w:hint="eastAsia"/>
                <w:sz w:val="22"/>
                <w:szCs w:val="22"/>
              </w:rPr>
              <w:t>1</w:t>
            </w:r>
            <w:r w:rsidRPr="00537F1C">
              <w:rPr>
                <w:rFonts w:ascii="Times" w:hAnsi="Times" w:hint="eastAsia"/>
                <w:sz w:val="22"/>
                <w:szCs w:val="22"/>
              </w:rPr>
              <w:t>、</w:t>
            </w:r>
            <w:r w:rsidR="00424A9F" w:rsidRPr="00537F1C">
              <w:rPr>
                <w:bCs/>
                <w:color w:val="000000"/>
                <w:sz w:val="22"/>
                <w:szCs w:val="22"/>
              </w:rPr>
              <w:t>三井物产</w:t>
            </w:r>
          </w:p>
        </w:tc>
        <w:tc>
          <w:tcPr>
            <w:tcW w:w="5812" w:type="dxa"/>
            <w:shd w:val="clear" w:color="auto" w:fill="auto"/>
          </w:tcPr>
          <w:p w14:paraId="68EA2F30" w14:textId="0E696661" w:rsidR="00424A9F" w:rsidRPr="00537F1C" w:rsidRDefault="00424A9F" w:rsidP="00424A9F">
            <w:pPr>
              <w:pStyle w:val="BodyText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</w:pPr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三井物产于</w:t>
            </w:r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1947</w:t>
            </w:r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年</w:t>
            </w:r>
            <w:r w:rsidRPr="00537F1C">
              <w:rPr>
                <w:rFonts w:cs="Times New Roman" w:hint="eastAsia"/>
                <w:bCs/>
                <w:color w:val="000000"/>
                <w:sz w:val="22"/>
                <w:szCs w:val="22"/>
                <w:lang w:eastAsia="zh-CN"/>
              </w:rPr>
              <w:t>7</w:t>
            </w:r>
            <w:r w:rsidRPr="00537F1C">
              <w:rPr>
                <w:rFonts w:cs="Times New Roman" w:hint="eastAsia"/>
                <w:bCs/>
                <w:color w:val="000000"/>
                <w:sz w:val="22"/>
                <w:szCs w:val="22"/>
                <w:lang w:eastAsia="zh-CN"/>
              </w:rPr>
              <w:t>月</w:t>
            </w:r>
            <w:r w:rsidRPr="00537F1C">
              <w:rPr>
                <w:rFonts w:cs="Times New Roman" w:hint="eastAsia"/>
                <w:bCs/>
                <w:color w:val="000000"/>
                <w:sz w:val="22"/>
                <w:szCs w:val="22"/>
                <w:lang w:eastAsia="zh-CN"/>
              </w:rPr>
              <w:t>2</w:t>
            </w:r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5</w:t>
            </w:r>
            <w:r w:rsidRPr="00537F1C">
              <w:rPr>
                <w:rFonts w:cs="Times New Roman" w:hint="eastAsia"/>
                <w:bCs/>
                <w:color w:val="000000"/>
                <w:sz w:val="22"/>
                <w:szCs w:val="22"/>
                <w:lang w:eastAsia="zh-CN"/>
              </w:rPr>
              <w:t>日</w:t>
            </w:r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在日本成立，</w:t>
            </w:r>
            <w:r w:rsidR="00EF1330">
              <w:rPr>
                <w:rFonts w:cs="Times New Roman" w:hint="eastAsia"/>
                <w:bCs/>
                <w:color w:val="000000"/>
                <w:sz w:val="22"/>
                <w:szCs w:val="22"/>
                <w:lang w:eastAsia="zh-CN"/>
              </w:rPr>
              <w:t>为</w:t>
            </w:r>
            <w:r w:rsidR="00B766F4">
              <w:rPr>
                <w:rFonts w:cs="Times New Roman" w:hint="eastAsia"/>
                <w:bCs/>
                <w:color w:val="000000"/>
                <w:sz w:val="22"/>
                <w:szCs w:val="22"/>
                <w:lang w:eastAsia="zh-CN"/>
              </w:rPr>
              <w:t>东京、</w:t>
            </w:r>
            <w:r w:rsidR="00B766F4" w:rsidRPr="00B766F4">
              <w:rPr>
                <w:rFonts w:cs="Times New Roman" w:hint="eastAsia"/>
                <w:bCs/>
                <w:color w:val="000000"/>
                <w:sz w:val="22"/>
                <w:szCs w:val="22"/>
                <w:lang w:eastAsia="zh-CN"/>
              </w:rPr>
              <w:t>札幌、名古屋</w:t>
            </w:r>
            <w:r w:rsidR="00B766F4">
              <w:rPr>
                <w:rFonts w:cs="Times New Roman" w:hint="eastAsia"/>
                <w:bCs/>
                <w:color w:val="000000"/>
                <w:sz w:val="22"/>
                <w:szCs w:val="22"/>
                <w:lang w:eastAsia="zh-CN"/>
              </w:rPr>
              <w:t>、</w:t>
            </w:r>
            <w:r w:rsidR="00B766F4" w:rsidRPr="00B766F4">
              <w:rPr>
                <w:rFonts w:cs="Times New Roman" w:hint="eastAsia"/>
                <w:bCs/>
                <w:color w:val="000000"/>
                <w:sz w:val="22"/>
                <w:szCs w:val="22"/>
                <w:lang w:eastAsia="zh-CN"/>
              </w:rPr>
              <w:t>福冈证券交易所</w:t>
            </w:r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上市公司，主要从事全球商品贸易等业务，其主要业务领域如下：钢铁产品业务、矿产和金属资源业务、能源业务、机械和基础设施业务、化工业务、生活方式业务以及创新和企业发展业务。</w:t>
            </w:r>
          </w:p>
          <w:p w14:paraId="7FBB0435" w14:textId="1BA21E3E" w:rsidR="00221EED" w:rsidRPr="00537F1C" w:rsidRDefault="00424A9F" w:rsidP="00424A9F">
            <w:pPr>
              <w:pStyle w:val="BodyText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</w:pPr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三井物产</w:t>
            </w:r>
            <w:proofErr w:type="gramStart"/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无最终</w:t>
            </w:r>
            <w:proofErr w:type="gramEnd"/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控制人。</w:t>
            </w:r>
          </w:p>
        </w:tc>
      </w:tr>
      <w:tr w:rsidR="00CE27DE" w:rsidRPr="00537F1C" w14:paraId="5D7D52BE" w14:textId="77777777" w:rsidTr="001B2514">
        <w:trPr>
          <w:trHeight w:val="914"/>
          <w:jc w:val="center"/>
        </w:trPr>
        <w:tc>
          <w:tcPr>
            <w:tcW w:w="1940" w:type="dxa"/>
            <w:vMerge/>
            <w:shd w:val="clear" w:color="auto" w:fill="D9D9D9"/>
          </w:tcPr>
          <w:p w14:paraId="4CD4A1EF" w14:textId="77777777" w:rsidR="00CE27DE" w:rsidRPr="00537F1C" w:rsidRDefault="00CE27DE" w:rsidP="002D0DAF">
            <w:pPr>
              <w:pStyle w:val="BodyText"/>
              <w:rPr>
                <w:rFonts w:cs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7" w:type="dxa"/>
            <w:shd w:val="clear" w:color="auto" w:fill="auto"/>
          </w:tcPr>
          <w:p w14:paraId="14552EEF" w14:textId="46C308A9" w:rsidR="00CE27DE" w:rsidRPr="00537F1C" w:rsidRDefault="00CE27DE" w:rsidP="007535D1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537F1C">
              <w:rPr>
                <w:rFonts w:ascii="Times" w:hAnsi="Times"/>
                <w:sz w:val="22"/>
                <w:szCs w:val="22"/>
              </w:rPr>
              <w:t>2</w:t>
            </w:r>
            <w:r w:rsidRPr="00537F1C">
              <w:rPr>
                <w:rFonts w:ascii="Times" w:hAnsi="Times" w:hint="eastAsia"/>
                <w:sz w:val="22"/>
                <w:szCs w:val="22"/>
              </w:rPr>
              <w:t>、</w:t>
            </w:r>
            <w:r w:rsidR="00145963" w:rsidRPr="00537F1C">
              <w:rPr>
                <w:rFonts w:ascii="Times" w:hAnsi="Times" w:hint="eastAsia"/>
                <w:sz w:val="22"/>
                <w:szCs w:val="22"/>
              </w:rPr>
              <w:t>乐敦</w:t>
            </w:r>
          </w:p>
        </w:tc>
        <w:tc>
          <w:tcPr>
            <w:tcW w:w="5812" w:type="dxa"/>
            <w:shd w:val="clear" w:color="auto" w:fill="auto"/>
          </w:tcPr>
          <w:p w14:paraId="5FD5989B" w14:textId="6F2485DB" w:rsidR="00EF1330" w:rsidRPr="00537F1C" w:rsidRDefault="00163F40" w:rsidP="00956B77">
            <w:pPr>
              <w:pStyle w:val="BodyText"/>
              <w:adjustRightInd w:val="0"/>
              <w:snapToGrid w:val="0"/>
              <w:spacing w:after="0"/>
              <w:rPr>
                <w:rFonts w:ascii="Times" w:hAnsi="Times"/>
                <w:sz w:val="22"/>
                <w:szCs w:val="22"/>
                <w:lang w:eastAsia="zh-CN"/>
              </w:rPr>
            </w:pPr>
            <w:r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乐敦</w:t>
            </w:r>
            <w:r w:rsidR="00CE27DE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于</w:t>
            </w:r>
            <w:r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1949</w:t>
            </w:r>
            <w:r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年</w:t>
            </w:r>
            <w:r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9</w:t>
            </w:r>
            <w:r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月</w:t>
            </w:r>
            <w:r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15</w:t>
            </w:r>
            <w:r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日</w:t>
            </w:r>
            <w:r w:rsidR="00CE27DE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在</w:t>
            </w:r>
            <w:r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日本</w:t>
            </w:r>
            <w:r w:rsidR="00CE27DE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成立，</w:t>
            </w:r>
            <w:r w:rsidR="002240A8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为</w:t>
            </w:r>
            <w:r w:rsidR="00A147DB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东京</w:t>
            </w:r>
            <w:r w:rsidR="00825930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证券交易所</w:t>
            </w:r>
            <w:r w:rsidR="00A147DB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上市</w:t>
            </w:r>
            <w:r w:rsidR="00325ED0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公司</w:t>
            </w:r>
            <w:r w:rsidR="00A147DB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，</w:t>
            </w:r>
            <w:r w:rsidR="002355C7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主要</w:t>
            </w:r>
            <w:r w:rsidR="00956B77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从事</w:t>
            </w:r>
            <w:r w:rsidR="00E11407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非处方药和护肤品</w:t>
            </w:r>
            <w:r w:rsidR="00956B77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业务</w:t>
            </w:r>
            <w:r w:rsidR="00CE27DE" w:rsidRPr="00B766F4">
              <w:rPr>
                <w:rFonts w:ascii="Times" w:hAnsi="Times" w:hint="eastAsia"/>
                <w:sz w:val="22"/>
                <w:szCs w:val="22"/>
                <w:lang w:eastAsia="zh-CN"/>
              </w:rPr>
              <w:t>。</w:t>
            </w:r>
          </w:p>
          <w:p w14:paraId="22F649E3" w14:textId="615417A2" w:rsidR="002355C7" w:rsidRPr="00537F1C" w:rsidRDefault="00956B77" w:rsidP="00956B77">
            <w:pPr>
              <w:pStyle w:val="BodyText"/>
              <w:adjustRightInd w:val="0"/>
              <w:snapToGrid w:val="0"/>
              <w:spacing w:after="0"/>
              <w:rPr>
                <w:rFonts w:ascii="Times" w:hAnsi="Times"/>
                <w:sz w:val="22"/>
                <w:szCs w:val="22"/>
                <w:lang w:eastAsia="zh-CN"/>
              </w:rPr>
            </w:pPr>
            <w:r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乐敦</w:t>
            </w:r>
            <w:proofErr w:type="gramStart"/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无最终</w:t>
            </w:r>
            <w:proofErr w:type="gramEnd"/>
            <w:r w:rsidRPr="00537F1C">
              <w:rPr>
                <w:rFonts w:cs="Times New Roman"/>
                <w:bCs/>
                <w:color w:val="000000"/>
                <w:sz w:val="22"/>
                <w:szCs w:val="22"/>
                <w:lang w:eastAsia="zh-CN"/>
              </w:rPr>
              <w:t>控制人。</w:t>
            </w:r>
          </w:p>
        </w:tc>
      </w:tr>
      <w:tr w:rsidR="00221EED" w:rsidRPr="00537F1C" w14:paraId="16D337BF" w14:textId="77777777" w:rsidTr="00221EED">
        <w:trPr>
          <w:trHeight w:val="700"/>
          <w:jc w:val="center"/>
        </w:trPr>
        <w:tc>
          <w:tcPr>
            <w:tcW w:w="1940" w:type="dxa"/>
            <w:vMerge/>
            <w:shd w:val="clear" w:color="auto" w:fill="D9D9D9"/>
          </w:tcPr>
          <w:p w14:paraId="6361613C" w14:textId="77777777" w:rsidR="00221EED" w:rsidRPr="00537F1C" w:rsidRDefault="00221EED" w:rsidP="002D0DAF">
            <w:pPr>
              <w:pStyle w:val="BodyText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57" w:type="dxa"/>
            <w:shd w:val="clear" w:color="auto" w:fill="auto"/>
          </w:tcPr>
          <w:p w14:paraId="29DC2532" w14:textId="4BF9BA5D" w:rsidR="00221EED" w:rsidRPr="00537F1C" w:rsidRDefault="002355C7" w:rsidP="005E5912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537F1C">
              <w:rPr>
                <w:rFonts w:ascii="Times" w:hAnsi="Times"/>
                <w:sz w:val="22"/>
                <w:szCs w:val="22"/>
              </w:rPr>
              <w:t>3</w:t>
            </w:r>
            <w:r w:rsidRPr="00537F1C">
              <w:rPr>
                <w:rFonts w:ascii="Times" w:hAnsi="Times" w:hint="eastAsia"/>
                <w:sz w:val="22"/>
                <w:szCs w:val="22"/>
              </w:rPr>
              <w:t>、</w:t>
            </w:r>
            <w:r w:rsidR="00956B77" w:rsidRPr="00537F1C">
              <w:rPr>
                <w:rFonts w:hint="eastAsia"/>
                <w:sz w:val="22"/>
                <w:szCs w:val="22"/>
              </w:rPr>
              <w:t>余仁生国际</w:t>
            </w:r>
          </w:p>
        </w:tc>
        <w:tc>
          <w:tcPr>
            <w:tcW w:w="5812" w:type="dxa"/>
            <w:shd w:val="clear" w:color="auto" w:fill="auto"/>
          </w:tcPr>
          <w:p w14:paraId="1E034B85" w14:textId="0FD34499" w:rsidR="002355C7" w:rsidRPr="00537F1C" w:rsidRDefault="00956B77" w:rsidP="00537F1C">
            <w:pPr>
              <w:pStyle w:val="BodyText"/>
              <w:adjustRightInd w:val="0"/>
              <w:snapToGrid w:val="0"/>
              <w:spacing w:after="0"/>
              <w:rPr>
                <w:rFonts w:ascii="Times" w:hAnsi="Times"/>
                <w:sz w:val="22"/>
                <w:szCs w:val="22"/>
                <w:lang w:eastAsia="zh-CN"/>
              </w:rPr>
            </w:pPr>
            <w:proofErr w:type="gramStart"/>
            <w:r w:rsidRPr="00537F1C">
              <w:rPr>
                <w:rFonts w:cs="Times New Roman" w:hint="eastAsia"/>
                <w:sz w:val="22"/>
                <w:szCs w:val="22"/>
                <w:lang w:eastAsia="zh-CN"/>
              </w:rPr>
              <w:t>余仁生国际</w:t>
            </w:r>
            <w:proofErr w:type="gramEnd"/>
            <w:r w:rsidR="002355C7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于</w:t>
            </w:r>
            <w:r w:rsidR="00FC68A3" w:rsidRPr="00FC68A3">
              <w:rPr>
                <w:rFonts w:ascii="Times" w:hAnsi="Times" w:hint="eastAsia"/>
                <w:sz w:val="22"/>
                <w:szCs w:val="22"/>
                <w:lang w:eastAsia="zh-CN"/>
              </w:rPr>
              <w:t>1</w:t>
            </w:r>
            <w:r w:rsidR="00FC68A3" w:rsidRPr="00FC68A3">
              <w:rPr>
                <w:rFonts w:ascii="Times" w:hAnsi="Times"/>
                <w:sz w:val="22"/>
                <w:szCs w:val="22"/>
                <w:lang w:eastAsia="zh-CN"/>
              </w:rPr>
              <w:t>9</w:t>
            </w:r>
            <w:r w:rsidR="007B781B">
              <w:rPr>
                <w:rFonts w:ascii="Times" w:hAnsi="Times"/>
                <w:sz w:val="22"/>
                <w:szCs w:val="22"/>
                <w:lang w:eastAsia="zh-CN"/>
              </w:rPr>
              <w:t>93</w:t>
            </w:r>
            <w:r w:rsidR="002355C7" w:rsidRPr="00FC68A3">
              <w:rPr>
                <w:rFonts w:ascii="Times" w:hAnsi="Times" w:hint="eastAsia"/>
                <w:sz w:val="22"/>
                <w:szCs w:val="22"/>
                <w:lang w:eastAsia="zh-CN"/>
              </w:rPr>
              <w:t>年</w:t>
            </w:r>
            <w:r w:rsidR="00034836">
              <w:rPr>
                <w:rFonts w:ascii="Times" w:hAnsi="Times"/>
                <w:sz w:val="22"/>
                <w:szCs w:val="22"/>
                <w:lang w:eastAsia="zh-CN"/>
              </w:rPr>
              <w:t>4</w:t>
            </w:r>
            <w:r w:rsidR="002355C7" w:rsidRPr="00FC68A3">
              <w:rPr>
                <w:rFonts w:ascii="Times" w:hAnsi="Times" w:hint="eastAsia"/>
                <w:sz w:val="22"/>
                <w:szCs w:val="22"/>
                <w:lang w:eastAsia="zh-CN"/>
              </w:rPr>
              <w:t>月</w:t>
            </w:r>
            <w:r w:rsidR="00FC68A3" w:rsidRPr="00FC68A3">
              <w:rPr>
                <w:rFonts w:ascii="Times" w:hAnsi="Times" w:hint="eastAsia"/>
                <w:sz w:val="22"/>
                <w:szCs w:val="22"/>
                <w:lang w:eastAsia="zh-CN"/>
              </w:rPr>
              <w:t>1</w:t>
            </w:r>
            <w:r w:rsidR="00034836">
              <w:rPr>
                <w:rFonts w:ascii="Times" w:hAnsi="Times"/>
                <w:sz w:val="22"/>
                <w:szCs w:val="22"/>
                <w:lang w:eastAsia="zh-CN"/>
              </w:rPr>
              <w:t>0</w:t>
            </w:r>
            <w:r w:rsidR="002355C7" w:rsidRPr="00FC68A3">
              <w:rPr>
                <w:rFonts w:ascii="Times" w:hAnsi="Times" w:hint="eastAsia"/>
                <w:sz w:val="22"/>
                <w:szCs w:val="22"/>
                <w:lang w:eastAsia="zh-CN"/>
              </w:rPr>
              <w:t>日在</w:t>
            </w:r>
            <w:r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新加坡</w:t>
            </w:r>
            <w:r w:rsidR="002355C7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成立，</w:t>
            </w:r>
            <w:r w:rsidR="00B766F4">
              <w:rPr>
                <w:rFonts w:hint="eastAsia"/>
                <w:sz w:val="22"/>
                <w:szCs w:val="22"/>
                <w:lang w:eastAsia="zh-CN"/>
              </w:rPr>
              <w:t>主要</w:t>
            </w:r>
            <w:r w:rsidR="00C36D6F" w:rsidRPr="00C36D6F">
              <w:rPr>
                <w:rFonts w:ascii="Times" w:hAnsi="Times" w:hint="eastAsia"/>
                <w:sz w:val="22"/>
                <w:szCs w:val="22"/>
                <w:lang w:eastAsia="zh-CN"/>
              </w:rPr>
              <w:t>生产和销售</w:t>
            </w:r>
            <w:r w:rsidR="00BD1666"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中药保健食品</w:t>
            </w:r>
            <w:r w:rsidR="00BD1666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、</w:t>
            </w:r>
            <w:r w:rsidR="00BD1666"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中药滋补食品</w:t>
            </w:r>
            <w:r w:rsidR="00BD1666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等含有中药成分的产品</w:t>
            </w:r>
            <w:r w:rsidR="00FC68A3">
              <w:rPr>
                <w:rFonts w:ascii="Times" w:hAnsi="Times" w:hint="eastAsia"/>
                <w:sz w:val="22"/>
                <w:szCs w:val="22"/>
                <w:lang w:eastAsia="zh-CN"/>
              </w:rPr>
              <w:t>。</w:t>
            </w:r>
          </w:p>
          <w:p w14:paraId="764381B0" w14:textId="756CD1D1" w:rsidR="00221EED" w:rsidRPr="00537F1C" w:rsidRDefault="004B244D" w:rsidP="00537F1C">
            <w:pPr>
              <w:pStyle w:val="BodyText"/>
              <w:adjustRightInd w:val="0"/>
              <w:snapToGrid w:val="0"/>
              <w:spacing w:after="0"/>
              <w:rPr>
                <w:sz w:val="22"/>
                <w:szCs w:val="22"/>
                <w:lang w:eastAsia="zh-CN"/>
              </w:rPr>
            </w:pPr>
            <w:proofErr w:type="gramStart"/>
            <w:r w:rsidRPr="00537F1C">
              <w:rPr>
                <w:rFonts w:cs="Times New Roman" w:hint="eastAsia"/>
                <w:sz w:val="22"/>
                <w:szCs w:val="22"/>
                <w:lang w:eastAsia="zh-CN"/>
              </w:rPr>
              <w:t>余仁生国际</w:t>
            </w:r>
            <w:proofErr w:type="gramEnd"/>
            <w:r w:rsidRPr="00537F1C">
              <w:rPr>
                <w:rFonts w:hint="eastAsia"/>
                <w:sz w:val="22"/>
                <w:szCs w:val="22"/>
                <w:lang w:eastAsia="zh-CN"/>
              </w:rPr>
              <w:t>的</w:t>
            </w:r>
            <w:r w:rsidR="002355C7" w:rsidRPr="00537F1C">
              <w:rPr>
                <w:rFonts w:ascii="Times" w:hAnsi="Times" w:hint="eastAsia"/>
                <w:sz w:val="22"/>
                <w:szCs w:val="22"/>
                <w:lang w:eastAsia="zh-CN"/>
              </w:rPr>
              <w:t>最终控制人为</w:t>
            </w:r>
            <w:proofErr w:type="spellStart"/>
            <w:r w:rsidR="00FC68A3" w:rsidRPr="00FC68A3">
              <w:rPr>
                <w:rFonts w:hint="eastAsia"/>
                <w:sz w:val="22"/>
                <w:szCs w:val="22"/>
                <w:lang w:eastAsia="zh-CN"/>
              </w:rPr>
              <w:t>RCH</w:t>
            </w:r>
            <w:r w:rsidR="00FC68A3" w:rsidRPr="00FC68A3">
              <w:rPr>
                <w:rFonts w:hint="eastAsia"/>
                <w:sz w:val="22"/>
                <w:szCs w:val="22"/>
                <w:lang w:eastAsia="zh-CN"/>
              </w:rPr>
              <w:t>公司</w:t>
            </w:r>
            <w:proofErr w:type="spellEnd"/>
            <w:r w:rsidR="00FC68A3">
              <w:rPr>
                <w:rFonts w:ascii="Times" w:hAnsi="Times" w:hint="eastAsia"/>
                <w:sz w:val="22"/>
                <w:szCs w:val="22"/>
                <w:lang w:eastAsia="zh-CN"/>
              </w:rPr>
              <w:t>。</w:t>
            </w:r>
            <w:proofErr w:type="spellStart"/>
            <w:r w:rsidR="00FC68A3">
              <w:rPr>
                <w:rFonts w:ascii="Times" w:hAnsi="Times" w:hint="eastAsia"/>
                <w:sz w:val="22"/>
                <w:szCs w:val="22"/>
                <w:lang w:eastAsia="zh-CN"/>
              </w:rPr>
              <w:t>RCH</w:t>
            </w:r>
            <w:r w:rsidR="00FC68A3">
              <w:rPr>
                <w:rFonts w:ascii="Times" w:hAnsi="Times" w:hint="eastAsia"/>
                <w:sz w:val="22"/>
                <w:szCs w:val="22"/>
                <w:lang w:eastAsia="zh-CN"/>
              </w:rPr>
              <w:t>公司为</w:t>
            </w:r>
            <w:r w:rsidR="00F11DDA" w:rsidRPr="00537F1C">
              <w:rPr>
                <w:rFonts w:hint="eastAsia"/>
                <w:sz w:val="22"/>
                <w:szCs w:val="22"/>
                <w:lang w:eastAsia="zh-CN"/>
              </w:rPr>
              <w:t>控股公司</w:t>
            </w:r>
            <w:proofErr w:type="spellEnd"/>
            <w:r w:rsidR="002355C7" w:rsidRPr="00537F1C"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</w:tr>
      <w:tr w:rsidR="00D92E0B" w:rsidRPr="00537F1C" w14:paraId="658D6898" w14:textId="77777777" w:rsidTr="005A7D2A">
        <w:trPr>
          <w:trHeight w:val="279"/>
          <w:jc w:val="center"/>
        </w:trPr>
        <w:tc>
          <w:tcPr>
            <w:tcW w:w="1940" w:type="dxa"/>
            <w:vMerge w:val="restart"/>
            <w:shd w:val="clear" w:color="auto" w:fill="D9D9D9"/>
          </w:tcPr>
          <w:p w14:paraId="400E6923" w14:textId="77777777" w:rsidR="00D92E0B" w:rsidRPr="00537F1C" w:rsidRDefault="00D92E0B" w:rsidP="002D0DAF">
            <w:pPr>
              <w:pStyle w:val="BodyText"/>
              <w:rPr>
                <w:rFonts w:cs="Times New Roman"/>
                <w:sz w:val="22"/>
                <w:szCs w:val="22"/>
                <w:lang w:val="en-US" w:eastAsia="zh-CN"/>
              </w:rPr>
            </w:pP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简易案件理由（可以单选，也可以多选）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03E439E3" w14:textId="77777777" w:rsidR="00D92E0B" w:rsidRPr="00537F1C" w:rsidRDefault="00221EED" w:rsidP="00B509AC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 w:rsidRPr="00537F1C"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 xml:space="preserve"> 1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、在同一相关市场，所有参与集中的经营者所占市场份额之和小于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15%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。</w:t>
            </w:r>
          </w:p>
        </w:tc>
      </w:tr>
      <w:tr w:rsidR="00D92E0B" w:rsidRPr="00537F1C" w14:paraId="266578A0" w14:textId="77777777" w:rsidTr="005A7D2A">
        <w:trPr>
          <w:trHeight w:val="330"/>
          <w:jc w:val="center"/>
        </w:trPr>
        <w:tc>
          <w:tcPr>
            <w:tcW w:w="1940" w:type="dxa"/>
            <w:vMerge/>
            <w:shd w:val="clear" w:color="auto" w:fill="D9D9D9"/>
          </w:tcPr>
          <w:p w14:paraId="7CF272B8" w14:textId="77777777" w:rsidR="00D92E0B" w:rsidRPr="00537F1C" w:rsidRDefault="00D92E0B" w:rsidP="002D0DAF">
            <w:pPr>
              <w:pStyle w:val="BodyText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7C28056F" w14:textId="77777777" w:rsidR="00D92E0B" w:rsidRPr="00537F1C" w:rsidRDefault="00221EED" w:rsidP="00B509AC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 w:rsidRPr="00537F1C"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 w:rsidRPr="00537F1C">
              <w:rPr>
                <w:rFonts w:cs="Times New Roman" w:hint="eastAsia"/>
                <w:sz w:val="22"/>
                <w:szCs w:val="22"/>
                <w:lang w:val="en-GB" w:eastAsia="zh-CN"/>
              </w:rPr>
              <w:t xml:space="preserve"> 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2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、存在上下游关系的参与集中的经营者，在上下游市场所占的市场份额均小于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25%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。</w:t>
            </w:r>
          </w:p>
        </w:tc>
      </w:tr>
      <w:tr w:rsidR="00D92E0B" w:rsidRPr="00537F1C" w14:paraId="333AACEB" w14:textId="77777777" w:rsidTr="005A7D2A">
        <w:trPr>
          <w:trHeight w:val="285"/>
          <w:jc w:val="center"/>
        </w:trPr>
        <w:tc>
          <w:tcPr>
            <w:tcW w:w="1940" w:type="dxa"/>
            <w:vMerge/>
            <w:shd w:val="clear" w:color="auto" w:fill="D9D9D9"/>
          </w:tcPr>
          <w:p w14:paraId="1DD14AFF" w14:textId="77777777" w:rsidR="00D92E0B" w:rsidRPr="00537F1C" w:rsidRDefault="00D92E0B" w:rsidP="002D0DAF">
            <w:pPr>
              <w:pStyle w:val="BodyText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0136ED4F" w14:textId="79CA4318" w:rsidR="00D92E0B" w:rsidRPr="00537F1C" w:rsidRDefault="00537F1C" w:rsidP="00B509AC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 w:rsidRPr="00537F1C">
              <w:rPr>
                <w:rFonts w:ascii="Wingdings" w:hAnsi="Wingdings"/>
                <w:sz w:val="22"/>
                <w:szCs w:val="22"/>
                <w:lang w:eastAsia="zh-CN"/>
              </w:rPr>
              <w:t></w:t>
            </w:r>
            <w:r w:rsidR="00001A6D" w:rsidRPr="00537F1C">
              <w:rPr>
                <w:rFonts w:cs="Times New Roman"/>
                <w:sz w:val="22"/>
                <w:szCs w:val="22"/>
                <w:lang w:val="en-GB" w:eastAsia="zh-CN"/>
              </w:rPr>
              <w:t xml:space="preserve"> 3</w:t>
            </w:r>
            <w:r w:rsidR="00001A6D" w:rsidRPr="00537F1C">
              <w:rPr>
                <w:rFonts w:cs="Times New Roman"/>
                <w:sz w:val="22"/>
                <w:szCs w:val="22"/>
                <w:lang w:val="en-GB" w:eastAsia="zh-CN"/>
              </w:rPr>
              <w:t>、不在同一相关市场、也不存在上下游关系的参与集中的经营者，在与交易有关的每个市场所占的份额均小于</w:t>
            </w:r>
            <w:r w:rsidR="00001A6D" w:rsidRPr="00537F1C">
              <w:rPr>
                <w:rFonts w:cs="Times New Roman"/>
                <w:sz w:val="22"/>
                <w:szCs w:val="22"/>
                <w:lang w:val="en-GB" w:eastAsia="zh-CN"/>
              </w:rPr>
              <w:t>25%</w:t>
            </w:r>
            <w:r w:rsidR="00001A6D" w:rsidRPr="00537F1C">
              <w:rPr>
                <w:rFonts w:cs="Times New Roman"/>
                <w:sz w:val="22"/>
                <w:szCs w:val="22"/>
                <w:lang w:val="en-GB" w:eastAsia="zh-CN"/>
              </w:rPr>
              <w:t>。</w:t>
            </w:r>
          </w:p>
        </w:tc>
      </w:tr>
      <w:tr w:rsidR="00D92E0B" w:rsidRPr="00537F1C" w14:paraId="6E5E8A19" w14:textId="77777777" w:rsidTr="00D122B3">
        <w:trPr>
          <w:trHeight w:val="584"/>
          <w:jc w:val="center"/>
        </w:trPr>
        <w:tc>
          <w:tcPr>
            <w:tcW w:w="1940" w:type="dxa"/>
            <w:vMerge/>
            <w:shd w:val="clear" w:color="auto" w:fill="D9D9D9"/>
          </w:tcPr>
          <w:p w14:paraId="6D087635" w14:textId="77777777" w:rsidR="00D92E0B" w:rsidRPr="00537F1C" w:rsidRDefault="00D92E0B" w:rsidP="002D0DAF">
            <w:pPr>
              <w:pStyle w:val="BodyText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78ABB57E" w14:textId="77777777" w:rsidR="00D92E0B" w:rsidRPr="00537F1C" w:rsidRDefault="00705E85" w:rsidP="00B509AC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 w:rsidRPr="00537F1C"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 xml:space="preserve"> 4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、参与集中的经营者在中国境外设立合营企业，合营企业不在中国境内从事经济活动。</w:t>
            </w:r>
          </w:p>
        </w:tc>
      </w:tr>
      <w:tr w:rsidR="00D92E0B" w:rsidRPr="00537F1C" w14:paraId="20B900EE" w14:textId="77777777" w:rsidTr="005A7D2A">
        <w:trPr>
          <w:trHeight w:val="264"/>
          <w:jc w:val="center"/>
        </w:trPr>
        <w:tc>
          <w:tcPr>
            <w:tcW w:w="1940" w:type="dxa"/>
            <w:vMerge/>
            <w:shd w:val="clear" w:color="auto" w:fill="D9D9D9"/>
          </w:tcPr>
          <w:p w14:paraId="3BE4CD81" w14:textId="77777777" w:rsidR="00D92E0B" w:rsidRPr="00537F1C" w:rsidRDefault="00D92E0B" w:rsidP="002D0DAF">
            <w:pPr>
              <w:pStyle w:val="BodyText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53ACA168" w14:textId="360358AD" w:rsidR="00D92E0B" w:rsidRPr="00537F1C" w:rsidRDefault="00537F1C" w:rsidP="00B509AC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 w:rsidRPr="00537F1C"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 w:rsidR="00221EED" w:rsidRPr="00537F1C">
              <w:rPr>
                <w:rFonts w:cs="Times New Roman"/>
                <w:sz w:val="22"/>
                <w:szCs w:val="22"/>
                <w:lang w:val="en-GB" w:eastAsia="zh-CN"/>
              </w:rPr>
              <w:t xml:space="preserve"> 5</w:t>
            </w:r>
            <w:r w:rsidR="00221EED" w:rsidRPr="00537F1C">
              <w:rPr>
                <w:rFonts w:cs="Times New Roman"/>
                <w:sz w:val="22"/>
                <w:szCs w:val="22"/>
                <w:lang w:val="en-GB"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D92E0B" w:rsidRPr="00537F1C" w14:paraId="6B7BF9A7" w14:textId="77777777" w:rsidTr="005A7D2A">
        <w:trPr>
          <w:trHeight w:val="345"/>
          <w:jc w:val="center"/>
        </w:trPr>
        <w:tc>
          <w:tcPr>
            <w:tcW w:w="1940" w:type="dxa"/>
            <w:vMerge/>
            <w:shd w:val="clear" w:color="auto" w:fill="D9D9D9"/>
          </w:tcPr>
          <w:p w14:paraId="74655E62" w14:textId="77777777" w:rsidR="00D92E0B" w:rsidRPr="00537F1C" w:rsidRDefault="00D92E0B" w:rsidP="002D0DAF">
            <w:pPr>
              <w:pStyle w:val="BodyText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6FE2D115" w14:textId="77777777" w:rsidR="00D92E0B" w:rsidRPr="00537F1C" w:rsidRDefault="00705E85" w:rsidP="00B509AC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 w:rsidRPr="00537F1C"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 xml:space="preserve"> 6</w:t>
            </w:r>
            <w:r w:rsidRPr="00537F1C">
              <w:rPr>
                <w:rFonts w:cs="Times New Roman"/>
                <w:sz w:val="22"/>
                <w:szCs w:val="22"/>
                <w:lang w:val="en-GB"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D92E0B" w:rsidRPr="00537F1C" w14:paraId="79FF0764" w14:textId="77777777" w:rsidTr="0049556B">
        <w:trPr>
          <w:trHeight w:val="1756"/>
          <w:jc w:val="center"/>
        </w:trPr>
        <w:tc>
          <w:tcPr>
            <w:tcW w:w="1940" w:type="dxa"/>
            <w:shd w:val="clear" w:color="auto" w:fill="D9D9D9"/>
          </w:tcPr>
          <w:p w14:paraId="0E257295" w14:textId="77777777" w:rsidR="00D92E0B" w:rsidRPr="00537F1C" w:rsidRDefault="00D92E0B" w:rsidP="002D0DAF">
            <w:pPr>
              <w:pStyle w:val="BodyText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537F1C">
              <w:rPr>
                <w:rFonts w:cs="Times New Roman"/>
                <w:sz w:val="22"/>
                <w:szCs w:val="22"/>
                <w:lang w:val="en-GB"/>
              </w:rPr>
              <w:t>备注</w:t>
            </w:r>
            <w:proofErr w:type="spellEnd"/>
          </w:p>
        </w:tc>
        <w:tc>
          <w:tcPr>
            <w:tcW w:w="7269" w:type="dxa"/>
            <w:gridSpan w:val="2"/>
            <w:shd w:val="clear" w:color="auto" w:fill="auto"/>
          </w:tcPr>
          <w:p w14:paraId="1CC4BF81" w14:textId="14906070" w:rsidR="0062334F" w:rsidRPr="00793469" w:rsidRDefault="0040694F" w:rsidP="00D62EC6">
            <w:pPr>
              <w:spacing w:after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793469">
              <w:rPr>
                <w:rFonts w:hint="eastAsia"/>
                <w:b/>
                <w:color w:val="000000"/>
                <w:sz w:val="22"/>
                <w:szCs w:val="22"/>
                <w:lang w:val="en-US"/>
              </w:rPr>
              <w:t>混合集中</w:t>
            </w:r>
            <w:r w:rsidR="00FF2FFC" w:rsidRPr="00793469">
              <w:rPr>
                <w:rFonts w:hint="eastAsia"/>
                <w:b/>
                <w:color w:val="000000"/>
                <w:sz w:val="22"/>
                <w:szCs w:val="22"/>
                <w:lang w:val="en-US"/>
              </w:rPr>
              <w:t>：</w:t>
            </w:r>
          </w:p>
          <w:p w14:paraId="3038F6C5" w14:textId="43361CBC" w:rsidR="00FF2FFC" w:rsidRPr="00793469" w:rsidRDefault="0049556B" w:rsidP="0049556B">
            <w:pPr>
              <w:pStyle w:val="BodyText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sz w:val="22"/>
                <w:szCs w:val="22"/>
                <w:lang w:val="en-US" w:eastAsia="zh-CN"/>
              </w:rPr>
            </w:pPr>
            <w:r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202</w:t>
            </w:r>
            <w:r w:rsidRPr="00793469">
              <w:rPr>
                <w:rFonts w:cs="Times New Roman"/>
                <w:bCs/>
                <w:color w:val="000000"/>
                <w:sz w:val="22"/>
                <w:szCs w:val="22"/>
                <w:lang w:val="en-US" w:eastAsia="zh-CN"/>
              </w:rPr>
              <w:t>3</w:t>
            </w:r>
            <w:r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年中国</w:t>
            </w:r>
            <w:r w:rsidR="00C36D6F"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境内</w:t>
            </w:r>
            <w:r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中药保健食品市场</w:t>
            </w:r>
            <w:r w:rsidRPr="00793469">
              <w:rPr>
                <w:rFonts w:cs="Times New Roman"/>
                <w:bCs/>
                <w:color w:val="000000"/>
                <w:sz w:val="22"/>
                <w:szCs w:val="22"/>
                <w:lang w:val="en-US" w:eastAsia="zh-CN"/>
              </w:rPr>
              <w:t>：</w:t>
            </w:r>
          </w:p>
          <w:p w14:paraId="3974337A" w14:textId="508D7E3C" w:rsidR="0062334F" w:rsidRPr="00793469" w:rsidRDefault="00D2317B" w:rsidP="00D62EC6">
            <w:pPr>
              <w:spacing w:after="0"/>
              <w:rPr>
                <w:sz w:val="22"/>
                <w:szCs w:val="22"/>
                <w:lang w:val="en-US"/>
              </w:rPr>
            </w:pPr>
            <w:proofErr w:type="gramStart"/>
            <w:r w:rsidRPr="00793469">
              <w:rPr>
                <w:rFonts w:hint="eastAsia"/>
                <w:sz w:val="22"/>
                <w:szCs w:val="22"/>
              </w:rPr>
              <w:t>余仁生国际</w:t>
            </w:r>
            <w:proofErr w:type="gramEnd"/>
            <w:r w:rsidR="00C36D6F" w:rsidRPr="00793469">
              <w:rPr>
                <w:rFonts w:hint="eastAsia"/>
                <w:sz w:val="22"/>
                <w:szCs w:val="22"/>
              </w:rPr>
              <w:t>：</w:t>
            </w:r>
            <w:r w:rsidR="00714632" w:rsidRPr="00793469">
              <w:rPr>
                <w:bCs/>
                <w:color w:val="000000"/>
                <w:sz w:val="22"/>
                <w:szCs w:val="22"/>
                <w:lang w:val="en-US"/>
              </w:rPr>
              <w:t>0-5%</w:t>
            </w:r>
          </w:p>
          <w:p w14:paraId="6ED44075" w14:textId="7EE1106C" w:rsidR="0049556B" w:rsidRPr="00793469" w:rsidRDefault="0049556B" w:rsidP="0049556B">
            <w:pPr>
              <w:pStyle w:val="BodyText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sz w:val="22"/>
                <w:szCs w:val="22"/>
                <w:lang w:val="en-US" w:eastAsia="zh-CN"/>
              </w:rPr>
            </w:pPr>
            <w:r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202</w:t>
            </w:r>
            <w:r w:rsidRPr="00793469">
              <w:rPr>
                <w:rFonts w:cs="Times New Roman"/>
                <w:bCs/>
                <w:color w:val="000000"/>
                <w:sz w:val="22"/>
                <w:szCs w:val="22"/>
                <w:lang w:val="en-US" w:eastAsia="zh-CN"/>
              </w:rPr>
              <w:t>3</w:t>
            </w:r>
            <w:r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年中国</w:t>
            </w:r>
            <w:r w:rsidR="00C36D6F"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境内</w:t>
            </w:r>
            <w:r w:rsidRPr="00793469">
              <w:rPr>
                <w:rFonts w:cs="Times New Roman" w:hint="eastAsia"/>
                <w:bCs/>
                <w:color w:val="000000"/>
                <w:sz w:val="22"/>
                <w:szCs w:val="22"/>
                <w:lang w:val="en-US" w:eastAsia="zh-CN"/>
              </w:rPr>
              <w:t>中药滋补食品市场</w:t>
            </w:r>
            <w:r w:rsidRPr="00793469">
              <w:rPr>
                <w:rFonts w:cs="Times New Roman"/>
                <w:bCs/>
                <w:color w:val="000000"/>
                <w:sz w:val="22"/>
                <w:szCs w:val="22"/>
                <w:lang w:val="en-US" w:eastAsia="zh-CN"/>
              </w:rPr>
              <w:t>：</w:t>
            </w:r>
          </w:p>
          <w:p w14:paraId="4DA97BCB" w14:textId="2DE2C5AF" w:rsidR="0062334F" w:rsidRPr="00714632" w:rsidRDefault="00714632" w:rsidP="00D62EC6">
            <w:pPr>
              <w:spacing w:after="0"/>
              <w:rPr>
                <w:sz w:val="22"/>
                <w:szCs w:val="22"/>
                <w:lang w:val="en-US"/>
              </w:rPr>
            </w:pPr>
            <w:proofErr w:type="gramStart"/>
            <w:r w:rsidRPr="00793469">
              <w:rPr>
                <w:rFonts w:hint="eastAsia"/>
                <w:sz w:val="22"/>
                <w:szCs w:val="22"/>
              </w:rPr>
              <w:t>余仁生国际</w:t>
            </w:r>
            <w:proofErr w:type="gramEnd"/>
            <w:r w:rsidR="00C36D6F" w:rsidRPr="00793469">
              <w:rPr>
                <w:rFonts w:hint="eastAsia"/>
                <w:sz w:val="22"/>
                <w:szCs w:val="22"/>
              </w:rPr>
              <w:t>：</w:t>
            </w:r>
            <w:r w:rsidRPr="00793469">
              <w:rPr>
                <w:bCs/>
                <w:color w:val="000000"/>
                <w:sz w:val="22"/>
                <w:szCs w:val="22"/>
                <w:lang w:val="en-US"/>
              </w:rPr>
              <w:t>0-5%</w:t>
            </w:r>
          </w:p>
        </w:tc>
      </w:tr>
    </w:tbl>
    <w:p w14:paraId="1FFDC014" w14:textId="77777777" w:rsidR="007335E4" w:rsidRDefault="007335E4" w:rsidP="001C1405"/>
    <w:sectPr w:rsidR="007335E4" w:rsidSect="007617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HAGUAbgBlAHIAYQBsACAAMwAgAEwAMQA=" wne:acdName="acd0" wne:fciIndexBasedOn="0065"/>
    <wne:acd wne:argValue="AgBHAGUAbgBlAHIAYQBsACAAMwAgAEwAMgA=" wne:acdName="acd1" wne:fciIndexBasedOn="0065"/>
    <wne:acd wne:argValue="AgBHAGUAbgBlAHIAYQBsACAAMwAgAEwAMwA=" wne:acdName="acd2" wne:fciIndexBasedOn="0065"/>
    <wne:acd wne:argValue="AgBHAGUAbgBlAHIAYQBsACAAMwAgAEwANAA=" wne:acdName="acd3" wne:fciIndexBasedOn="0065"/>
    <wne:acd wne:argValue="AgBHAGUAbgBlAHIAYQBsACAAMwAgAEwANQA=" wne:acdName="acd4" wne:fciIndexBasedOn="0065"/>
    <wne:acd wne:argValue="AgBHAGUAbgBlAHIAYQBsACAAMwAgAEwANgA=" wne:acdName="acd5" wne:fciIndexBasedOn="0065"/>
    <wne:acd wne:argValue="AgBHAGUAbgBlAHIAYQBsACAAMwAgAEwANwA=" wne:acdName="acd6" wne:fciIndexBasedOn="0065"/>
    <wne:acd wne:argValue="AgBHAGUAbgBlAHIAYQBsACAAMwAgAEwAOAA=" wne:acdName="acd7" wne:fciIndexBasedOn="0065"/>
    <wne:acd wne:argValue="AgBHAGUAbgBlAHIAYQBsACAAMwAgAEwAOQA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A557" w14:textId="77777777" w:rsidR="0076177E" w:rsidRDefault="0076177E" w:rsidP="00D92E0B">
      <w:pPr>
        <w:spacing w:after="0"/>
      </w:pPr>
      <w:r>
        <w:separator/>
      </w:r>
    </w:p>
  </w:endnote>
  <w:endnote w:type="continuationSeparator" w:id="0">
    <w:p w14:paraId="73E638CB" w14:textId="77777777" w:rsidR="0076177E" w:rsidRDefault="0076177E" w:rsidP="00D92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3A78" w14:textId="77777777" w:rsidR="0076177E" w:rsidRDefault="0076177E" w:rsidP="00D92E0B">
      <w:pPr>
        <w:spacing w:after="0"/>
      </w:pPr>
      <w:r>
        <w:separator/>
      </w:r>
    </w:p>
  </w:footnote>
  <w:footnote w:type="continuationSeparator" w:id="0">
    <w:p w14:paraId="5B1B5058" w14:textId="77777777" w:rsidR="0076177E" w:rsidRDefault="0076177E" w:rsidP="00D92E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498"/>
    <w:multiLevelType w:val="multilevel"/>
    <w:tmpl w:val="8BB6627A"/>
    <w:name w:val="General"/>
    <w:lvl w:ilvl="0">
      <w:start w:val="1"/>
      <w:numFmt w:val="decimal"/>
      <w:lvlRestart w:val="0"/>
      <w:pStyle w:val="General3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General3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General3L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General3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General3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General3L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3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3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3L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19B1A7F"/>
    <w:multiLevelType w:val="hybridMultilevel"/>
    <w:tmpl w:val="7CB24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77A7"/>
    <w:multiLevelType w:val="multilevel"/>
    <w:tmpl w:val="F9A605A0"/>
    <w:name w:val="General_1"/>
    <w:lvl w:ilvl="0">
      <w:start w:val="1"/>
      <w:numFmt w:val="decimal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3" w15:restartNumberingAfterBreak="0">
    <w:nsid w:val="4C325A3B"/>
    <w:multiLevelType w:val="hybridMultilevel"/>
    <w:tmpl w:val="A028A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628B"/>
    <w:multiLevelType w:val="multilevel"/>
    <w:tmpl w:val="7884FE8A"/>
    <w:name w:val="General 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740123C4"/>
    <w:multiLevelType w:val="hybridMultilevel"/>
    <w:tmpl w:val="9E6AC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09040">
    <w:abstractNumId w:val="0"/>
  </w:num>
  <w:num w:numId="2" w16cid:durableId="644045661">
    <w:abstractNumId w:val="4"/>
  </w:num>
  <w:num w:numId="3" w16cid:durableId="2106487880">
    <w:abstractNumId w:val="3"/>
  </w:num>
  <w:num w:numId="4" w16cid:durableId="593973217">
    <w:abstractNumId w:val="1"/>
  </w:num>
  <w:num w:numId="5" w16cid:durableId="150029196">
    <w:abstractNumId w:val="5"/>
  </w:num>
  <w:num w:numId="6" w16cid:durableId="772893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0B"/>
    <w:rsid w:val="00001A6D"/>
    <w:rsid w:val="00001A9F"/>
    <w:rsid w:val="00034836"/>
    <w:rsid w:val="000453D2"/>
    <w:rsid w:val="0005110A"/>
    <w:rsid w:val="000554A5"/>
    <w:rsid w:val="00063A2F"/>
    <w:rsid w:val="000747F5"/>
    <w:rsid w:val="00075F30"/>
    <w:rsid w:val="00081927"/>
    <w:rsid w:val="0008652E"/>
    <w:rsid w:val="000A27B2"/>
    <w:rsid w:val="000A2C78"/>
    <w:rsid w:val="000B77A2"/>
    <w:rsid w:val="000C6FA8"/>
    <w:rsid w:val="000D635A"/>
    <w:rsid w:val="000E7D23"/>
    <w:rsid w:val="000F17E7"/>
    <w:rsid w:val="0013797D"/>
    <w:rsid w:val="00145963"/>
    <w:rsid w:val="00157B7D"/>
    <w:rsid w:val="001620F1"/>
    <w:rsid w:val="00163F40"/>
    <w:rsid w:val="001701B9"/>
    <w:rsid w:val="00171A40"/>
    <w:rsid w:val="0017603B"/>
    <w:rsid w:val="001937A5"/>
    <w:rsid w:val="001A1129"/>
    <w:rsid w:val="001A37ED"/>
    <w:rsid w:val="001A591E"/>
    <w:rsid w:val="001B2514"/>
    <w:rsid w:val="001B4169"/>
    <w:rsid w:val="001C1405"/>
    <w:rsid w:val="001E7029"/>
    <w:rsid w:val="001E7764"/>
    <w:rsid w:val="001F0CB5"/>
    <w:rsid w:val="001F5218"/>
    <w:rsid w:val="00221EED"/>
    <w:rsid w:val="0022234D"/>
    <w:rsid w:val="002240A8"/>
    <w:rsid w:val="00232538"/>
    <w:rsid w:val="002355C7"/>
    <w:rsid w:val="00235614"/>
    <w:rsid w:val="0024351F"/>
    <w:rsid w:val="002525EC"/>
    <w:rsid w:val="0025452D"/>
    <w:rsid w:val="002752CF"/>
    <w:rsid w:val="0028326E"/>
    <w:rsid w:val="00284698"/>
    <w:rsid w:val="00287C83"/>
    <w:rsid w:val="00293ED8"/>
    <w:rsid w:val="002A0E91"/>
    <w:rsid w:val="002F5AC5"/>
    <w:rsid w:val="00305326"/>
    <w:rsid w:val="00325ED0"/>
    <w:rsid w:val="00333793"/>
    <w:rsid w:val="003343D4"/>
    <w:rsid w:val="00346D4D"/>
    <w:rsid w:val="00352AEF"/>
    <w:rsid w:val="003674BF"/>
    <w:rsid w:val="003A20EE"/>
    <w:rsid w:val="003A2393"/>
    <w:rsid w:val="003A28B1"/>
    <w:rsid w:val="003A7C04"/>
    <w:rsid w:val="003C54A3"/>
    <w:rsid w:val="003C7BE1"/>
    <w:rsid w:val="003E1C7B"/>
    <w:rsid w:val="003F061A"/>
    <w:rsid w:val="0040574F"/>
    <w:rsid w:val="0040694F"/>
    <w:rsid w:val="0041446C"/>
    <w:rsid w:val="00417114"/>
    <w:rsid w:val="00424A9F"/>
    <w:rsid w:val="004311FE"/>
    <w:rsid w:val="00441029"/>
    <w:rsid w:val="00443DB4"/>
    <w:rsid w:val="004637BD"/>
    <w:rsid w:val="0047593C"/>
    <w:rsid w:val="004871BD"/>
    <w:rsid w:val="0049556B"/>
    <w:rsid w:val="004A0AFE"/>
    <w:rsid w:val="004A4E6A"/>
    <w:rsid w:val="004B244D"/>
    <w:rsid w:val="004B7EBA"/>
    <w:rsid w:val="004C306B"/>
    <w:rsid w:val="004D1096"/>
    <w:rsid w:val="004D7DB8"/>
    <w:rsid w:val="004E4FC5"/>
    <w:rsid w:val="004E5A46"/>
    <w:rsid w:val="004F0041"/>
    <w:rsid w:val="004F26EC"/>
    <w:rsid w:val="005001E6"/>
    <w:rsid w:val="005158E2"/>
    <w:rsid w:val="00537F1C"/>
    <w:rsid w:val="00555FD7"/>
    <w:rsid w:val="0055693D"/>
    <w:rsid w:val="005745E3"/>
    <w:rsid w:val="00594879"/>
    <w:rsid w:val="005A0D56"/>
    <w:rsid w:val="005A7D2A"/>
    <w:rsid w:val="005D5004"/>
    <w:rsid w:val="005E5912"/>
    <w:rsid w:val="00604589"/>
    <w:rsid w:val="00620564"/>
    <w:rsid w:val="00621E51"/>
    <w:rsid w:val="0062334F"/>
    <w:rsid w:val="00625C8E"/>
    <w:rsid w:val="0064168F"/>
    <w:rsid w:val="006450E1"/>
    <w:rsid w:val="006561F4"/>
    <w:rsid w:val="00661B06"/>
    <w:rsid w:val="00676DEA"/>
    <w:rsid w:val="00683CEC"/>
    <w:rsid w:val="006912F7"/>
    <w:rsid w:val="00694D09"/>
    <w:rsid w:val="0069535C"/>
    <w:rsid w:val="006A3700"/>
    <w:rsid w:val="006D5A9E"/>
    <w:rsid w:val="006E0C0D"/>
    <w:rsid w:val="006E141B"/>
    <w:rsid w:val="006F0520"/>
    <w:rsid w:val="006F5EE8"/>
    <w:rsid w:val="00705E85"/>
    <w:rsid w:val="00714632"/>
    <w:rsid w:val="00717C76"/>
    <w:rsid w:val="00721041"/>
    <w:rsid w:val="007335E4"/>
    <w:rsid w:val="007472FC"/>
    <w:rsid w:val="007473F2"/>
    <w:rsid w:val="007535D1"/>
    <w:rsid w:val="0076177E"/>
    <w:rsid w:val="00764DB0"/>
    <w:rsid w:val="00772AA6"/>
    <w:rsid w:val="0078354E"/>
    <w:rsid w:val="0079009C"/>
    <w:rsid w:val="00793469"/>
    <w:rsid w:val="00794DFC"/>
    <w:rsid w:val="007A0FE7"/>
    <w:rsid w:val="007A47AA"/>
    <w:rsid w:val="007B378E"/>
    <w:rsid w:val="007B781B"/>
    <w:rsid w:val="007C37D9"/>
    <w:rsid w:val="007C425D"/>
    <w:rsid w:val="007D6341"/>
    <w:rsid w:val="008043E6"/>
    <w:rsid w:val="00825930"/>
    <w:rsid w:val="00825B51"/>
    <w:rsid w:val="008436B7"/>
    <w:rsid w:val="00852A85"/>
    <w:rsid w:val="008562CE"/>
    <w:rsid w:val="00862F7B"/>
    <w:rsid w:val="008632A0"/>
    <w:rsid w:val="008656E0"/>
    <w:rsid w:val="00872EB0"/>
    <w:rsid w:val="00874B87"/>
    <w:rsid w:val="008907DB"/>
    <w:rsid w:val="008A357B"/>
    <w:rsid w:val="008A3B57"/>
    <w:rsid w:val="008A41B7"/>
    <w:rsid w:val="008A655B"/>
    <w:rsid w:val="008C0A30"/>
    <w:rsid w:val="008C7561"/>
    <w:rsid w:val="008F68EC"/>
    <w:rsid w:val="009004F6"/>
    <w:rsid w:val="009058D6"/>
    <w:rsid w:val="00932B1D"/>
    <w:rsid w:val="00944E3F"/>
    <w:rsid w:val="00955B7B"/>
    <w:rsid w:val="00956B77"/>
    <w:rsid w:val="0096594F"/>
    <w:rsid w:val="00966276"/>
    <w:rsid w:val="00976BEB"/>
    <w:rsid w:val="009854C6"/>
    <w:rsid w:val="0099230E"/>
    <w:rsid w:val="009972A8"/>
    <w:rsid w:val="009A2175"/>
    <w:rsid w:val="009B6E77"/>
    <w:rsid w:val="009C7116"/>
    <w:rsid w:val="009D0DC9"/>
    <w:rsid w:val="009D4597"/>
    <w:rsid w:val="009D50A4"/>
    <w:rsid w:val="009D5819"/>
    <w:rsid w:val="009D60C7"/>
    <w:rsid w:val="009E3CED"/>
    <w:rsid w:val="009F0D06"/>
    <w:rsid w:val="009F2F6B"/>
    <w:rsid w:val="00A0261A"/>
    <w:rsid w:val="00A147DB"/>
    <w:rsid w:val="00A23099"/>
    <w:rsid w:val="00A27587"/>
    <w:rsid w:val="00A30099"/>
    <w:rsid w:val="00A64788"/>
    <w:rsid w:val="00A766C7"/>
    <w:rsid w:val="00A83D6C"/>
    <w:rsid w:val="00A92C55"/>
    <w:rsid w:val="00AA3A30"/>
    <w:rsid w:val="00AA5D49"/>
    <w:rsid w:val="00AB2557"/>
    <w:rsid w:val="00AB6ECC"/>
    <w:rsid w:val="00AB7F70"/>
    <w:rsid w:val="00AE2240"/>
    <w:rsid w:val="00AE2337"/>
    <w:rsid w:val="00B00E34"/>
    <w:rsid w:val="00B03892"/>
    <w:rsid w:val="00B15B57"/>
    <w:rsid w:val="00B342CF"/>
    <w:rsid w:val="00B509AC"/>
    <w:rsid w:val="00B52B4E"/>
    <w:rsid w:val="00B73015"/>
    <w:rsid w:val="00B766F4"/>
    <w:rsid w:val="00B7748A"/>
    <w:rsid w:val="00B80E6D"/>
    <w:rsid w:val="00B963C0"/>
    <w:rsid w:val="00B97329"/>
    <w:rsid w:val="00BA4954"/>
    <w:rsid w:val="00BC063A"/>
    <w:rsid w:val="00BC192F"/>
    <w:rsid w:val="00BD1666"/>
    <w:rsid w:val="00BD6FAE"/>
    <w:rsid w:val="00BE0688"/>
    <w:rsid w:val="00BF6B18"/>
    <w:rsid w:val="00C00AB9"/>
    <w:rsid w:val="00C13988"/>
    <w:rsid w:val="00C274A3"/>
    <w:rsid w:val="00C36D6F"/>
    <w:rsid w:val="00C60C6E"/>
    <w:rsid w:val="00C74EEE"/>
    <w:rsid w:val="00C855C4"/>
    <w:rsid w:val="00CA656B"/>
    <w:rsid w:val="00CB0BB2"/>
    <w:rsid w:val="00CC4ED7"/>
    <w:rsid w:val="00CD590A"/>
    <w:rsid w:val="00CD73F7"/>
    <w:rsid w:val="00CE27DE"/>
    <w:rsid w:val="00CE6F12"/>
    <w:rsid w:val="00D075D5"/>
    <w:rsid w:val="00D076C6"/>
    <w:rsid w:val="00D122B3"/>
    <w:rsid w:val="00D133CB"/>
    <w:rsid w:val="00D211F6"/>
    <w:rsid w:val="00D2317B"/>
    <w:rsid w:val="00D24BAF"/>
    <w:rsid w:val="00D310A2"/>
    <w:rsid w:val="00D40D11"/>
    <w:rsid w:val="00D458E2"/>
    <w:rsid w:val="00D4692F"/>
    <w:rsid w:val="00D61325"/>
    <w:rsid w:val="00D62EC6"/>
    <w:rsid w:val="00D87E2B"/>
    <w:rsid w:val="00D91095"/>
    <w:rsid w:val="00D92E0B"/>
    <w:rsid w:val="00D94123"/>
    <w:rsid w:val="00DB00EF"/>
    <w:rsid w:val="00DB055C"/>
    <w:rsid w:val="00DB334C"/>
    <w:rsid w:val="00DC05CD"/>
    <w:rsid w:val="00DC1875"/>
    <w:rsid w:val="00DC2DF7"/>
    <w:rsid w:val="00DC680D"/>
    <w:rsid w:val="00DE21ED"/>
    <w:rsid w:val="00DE6644"/>
    <w:rsid w:val="00E0525F"/>
    <w:rsid w:val="00E11407"/>
    <w:rsid w:val="00E35FA9"/>
    <w:rsid w:val="00E44950"/>
    <w:rsid w:val="00E70B1F"/>
    <w:rsid w:val="00E7329C"/>
    <w:rsid w:val="00E81ACC"/>
    <w:rsid w:val="00E94D11"/>
    <w:rsid w:val="00EB6CDE"/>
    <w:rsid w:val="00EF1330"/>
    <w:rsid w:val="00EF2CBF"/>
    <w:rsid w:val="00EF7845"/>
    <w:rsid w:val="00F11DDA"/>
    <w:rsid w:val="00F11FF0"/>
    <w:rsid w:val="00F217B4"/>
    <w:rsid w:val="00F4045F"/>
    <w:rsid w:val="00F51694"/>
    <w:rsid w:val="00F524EE"/>
    <w:rsid w:val="00F54C0C"/>
    <w:rsid w:val="00F6659F"/>
    <w:rsid w:val="00F83B1C"/>
    <w:rsid w:val="00F877CB"/>
    <w:rsid w:val="00FA2412"/>
    <w:rsid w:val="00FB14F1"/>
    <w:rsid w:val="00FC68A3"/>
    <w:rsid w:val="00FC70D7"/>
    <w:rsid w:val="00FC7EB3"/>
    <w:rsid w:val="00FD21DC"/>
    <w:rsid w:val="00FE1347"/>
    <w:rsid w:val="00FF2FFC"/>
    <w:rsid w:val="00FF340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14A7EF"/>
  <w15:chartTrackingRefBased/>
  <w15:docId w15:val="{C3D8D51E-6C01-4FCF-9F8E-BF7623C1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0B"/>
    <w:pPr>
      <w:spacing w:after="240" w:line="240" w:lineRule="auto"/>
      <w:jc w:val="both"/>
    </w:pPr>
    <w:rPr>
      <w:rFonts w:ascii="Times New Roman" w:eastAsia="宋体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1L8">
    <w:name w:val="General 1 L8"/>
    <w:basedOn w:val="Normal"/>
    <w:rsid w:val="00221EED"/>
    <w:pPr>
      <w:numPr>
        <w:ilvl w:val="7"/>
        <w:numId w:val="6"/>
      </w:numPr>
      <w:outlineLvl w:val="7"/>
    </w:pPr>
    <w:rPr>
      <w:rFonts w:cs="Simplified Arabic"/>
    </w:rPr>
  </w:style>
  <w:style w:type="character" w:styleId="Hyperlink">
    <w:name w:val="Hyperlink"/>
    <w:uiPriority w:val="99"/>
    <w:rsid w:val="007535D1"/>
    <w:rPr>
      <w:color w:val="0000FF"/>
      <w:u w:val="single"/>
    </w:rPr>
  </w:style>
  <w:style w:type="paragraph" w:customStyle="1" w:styleId="FooterRight">
    <w:name w:val="Footer Right"/>
    <w:basedOn w:val="Footer"/>
    <w:link w:val="FooterRightChar"/>
    <w:rsid w:val="00852A85"/>
    <w:pPr>
      <w:spacing w:line="440" w:lineRule="exact"/>
      <w:jc w:val="right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92E0B"/>
    <w:rPr>
      <w:rFonts w:ascii="Times New Roman" w:hAnsi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92E0B"/>
    <w:pPr>
      <w:tabs>
        <w:tab w:val="center" w:pos="4153"/>
        <w:tab w:val="right" w:pos="8306"/>
      </w:tabs>
      <w:spacing w:after="0"/>
      <w:jc w:val="left"/>
    </w:pPr>
    <w:rPr>
      <w:rFonts w:eastAsiaTheme="minorEastAsia"/>
      <w:sz w:val="16"/>
      <w:szCs w:val="22"/>
      <w:lang w:bidi="ar-SA"/>
    </w:rPr>
  </w:style>
  <w:style w:type="character" w:customStyle="1" w:styleId="FooterRightChar">
    <w:name w:val="Footer Right Char"/>
    <w:basedOn w:val="DefaultParagraphFont"/>
    <w:link w:val="FooterRight"/>
    <w:rsid w:val="00852A85"/>
    <w:rPr>
      <w:rFonts w:ascii="Times New Roman" w:hAnsi="Times New Roman" w:cs="Times New Roman"/>
      <w:sz w:val="16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CBF"/>
    <w:rPr>
      <w:rFonts w:ascii="Times New Roman" w:eastAsia="宋体" w:hAnsi="Times New Roman" w:cs="Times New Roman"/>
      <w:sz w:val="24"/>
      <w:szCs w:val="24"/>
      <w:lang w:bidi="ar-AE"/>
    </w:rPr>
  </w:style>
  <w:style w:type="character" w:customStyle="1" w:styleId="HeaderChar">
    <w:name w:val="Header Char"/>
    <w:basedOn w:val="DefaultParagraphFont"/>
    <w:link w:val="Header"/>
    <w:uiPriority w:val="99"/>
    <w:rsid w:val="00D92E0B"/>
  </w:style>
  <w:style w:type="paragraph" w:styleId="BodyText2">
    <w:name w:val="Body Text 2"/>
    <w:basedOn w:val="Normal"/>
    <w:link w:val="BodyText2Char"/>
    <w:uiPriority w:val="99"/>
    <w:semiHidden/>
    <w:unhideWhenUsed/>
    <w:rsid w:val="00EF2CBF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D92E0B"/>
    <w:pPr>
      <w:tabs>
        <w:tab w:val="center" w:pos="4153"/>
        <w:tab w:val="right" w:pos="8306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BodyText">
    <w:name w:val="Body Text"/>
    <w:basedOn w:val="Normal"/>
    <w:link w:val="BodyTextChar"/>
    <w:rsid w:val="00D92E0B"/>
    <w:rPr>
      <w:rFonts w:cs="Simplified Arabic"/>
      <w:lang w:val="x-none" w:eastAsia="en-GB"/>
    </w:rPr>
  </w:style>
  <w:style w:type="paragraph" w:customStyle="1" w:styleId="General1L6">
    <w:name w:val="General 1 L6"/>
    <w:basedOn w:val="Normal"/>
    <w:next w:val="Normal"/>
    <w:rsid w:val="00221EED"/>
    <w:pPr>
      <w:numPr>
        <w:ilvl w:val="5"/>
        <w:numId w:val="6"/>
      </w:numPr>
      <w:outlineLvl w:val="5"/>
    </w:pPr>
    <w:rPr>
      <w:rFonts w:cs="Simplified Arabic"/>
    </w:rPr>
  </w:style>
  <w:style w:type="character" w:customStyle="1" w:styleId="BodyTextChar">
    <w:name w:val="Body Text Char"/>
    <w:basedOn w:val="DefaultParagraphFont"/>
    <w:link w:val="BodyText"/>
    <w:rsid w:val="00D92E0B"/>
    <w:rPr>
      <w:rFonts w:ascii="Times New Roman" w:eastAsia="宋体" w:hAnsi="Times New Roman" w:cs="Simplified Arabic"/>
      <w:sz w:val="24"/>
      <w:szCs w:val="24"/>
      <w:lang w:val="x-none" w:eastAsia="en-GB" w:bidi="ar-AE"/>
    </w:rPr>
  </w:style>
  <w:style w:type="paragraph" w:customStyle="1" w:styleId="General3L9">
    <w:name w:val="General 3 L9"/>
    <w:basedOn w:val="Normal"/>
    <w:rsid w:val="00EF2CBF"/>
    <w:pPr>
      <w:numPr>
        <w:ilvl w:val="8"/>
        <w:numId w:val="1"/>
      </w:numPr>
      <w:outlineLvl w:val="8"/>
    </w:pPr>
    <w:rPr>
      <w:rFonts w:cs="Simplified Arabic"/>
      <w:bCs/>
    </w:rPr>
  </w:style>
  <w:style w:type="character" w:styleId="PageNumber">
    <w:name w:val="page number"/>
    <w:basedOn w:val="DefaultParagraphFont"/>
    <w:uiPriority w:val="99"/>
    <w:semiHidden/>
    <w:unhideWhenUsed/>
    <w:rsid w:val="00852A85"/>
    <w:rPr>
      <w:rFonts w:ascii="Times New Roman" w:hAnsi="Times New Roman" w:cs="Times New Roman"/>
      <w:b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16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70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General1L3">
    <w:name w:val="General 1 L3"/>
    <w:basedOn w:val="Normal"/>
    <w:next w:val="BodyText2"/>
    <w:rsid w:val="00221EED"/>
    <w:pPr>
      <w:numPr>
        <w:ilvl w:val="2"/>
        <w:numId w:val="6"/>
      </w:numPr>
      <w:outlineLvl w:val="2"/>
    </w:pPr>
    <w:rPr>
      <w:rFonts w:cs="Simplified Arabic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70"/>
    <w:rPr>
      <w:rFonts w:ascii="Segoe UI" w:eastAsia="宋体" w:hAnsi="Segoe UI" w:cs="Segoe UI"/>
      <w:sz w:val="18"/>
      <w:szCs w:val="18"/>
      <w:lang w:bidi="ar-AE"/>
    </w:rPr>
  </w:style>
  <w:style w:type="paragraph" w:customStyle="1" w:styleId="General3L8">
    <w:name w:val="General 3 L8"/>
    <w:basedOn w:val="Normal"/>
    <w:rsid w:val="00EF2CBF"/>
    <w:pPr>
      <w:numPr>
        <w:ilvl w:val="7"/>
        <w:numId w:val="1"/>
      </w:numPr>
      <w:outlineLvl w:val="7"/>
    </w:pPr>
    <w:rPr>
      <w:rFonts w:cs="Simplified Arabic"/>
      <w:bCs/>
    </w:rPr>
  </w:style>
  <w:style w:type="paragraph" w:customStyle="1" w:styleId="General3L7">
    <w:name w:val="General 3 L7"/>
    <w:basedOn w:val="Normal"/>
    <w:rsid w:val="00EF2CBF"/>
    <w:pPr>
      <w:numPr>
        <w:ilvl w:val="6"/>
        <w:numId w:val="1"/>
      </w:numPr>
      <w:outlineLvl w:val="6"/>
    </w:pPr>
    <w:rPr>
      <w:rFonts w:cs="Simplified Arabic"/>
      <w:bCs/>
    </w:rPr>
  </w:style>
  <w:style w:type="paragraph" w:customStyle="1" w:styleId="General3L6">
    <w:name w:val="General 3 L6"/>
    <w:basedOn w:val="Normal"/>
    <w:rsid w:val="00EF2CBF"/>
    <w:pPr>
      <w:numPr>
        <w:ilvl w:val="5"/>
        <w:numId w:val="1"/>
      </w:numPr>
      <w:outlineLvl w:val="5"/>
    </w:pPr>
    <w:rPr>
      <w:rFonts w:cs="Simplified Arabic"/>
      <w:bCs/>
    </w:rPr>
  </w:style>
  <w:style w:type="paragraph" w:customStyle="1" w:styleId="General3L5">
    <w:name w:val="General 3 L5"/>
    <w:basedOn w:val="Normal"/>
    <w:next w:val="Normal"/>
    <w:rsid w:val="00EF2CBF"/>
    <w:pPr>
      <w:numPr>
        <w:ilvl w:val="4"/>
        <w:numId w:val="1"/>
      </w:numPr>
      <w:outlineLvl w:val="4"/>
    </w:pPr>
    <w:rPr>
      <w:rFonts w:cs="Simplified Arabic"/>
      <w:bCs/>
    </w:rPr>
  </w:style>
  <w:style w:type="paragraph" w:customStyle="1" w:styleId="General3L4">
    <w:name w:val="General 3 L4"/>
    <w:basedOn w:val="Normal"/>
    <w:next w:val="BodyText3"/>
    <w:rsid w:val="00EF2CBF"/>
    <w:pPr>
      <w:numPr>
        <w:ilvl w:val="3"/>
        <w:numId w:val="1"/>
      </w:numPr>
      <w:outlineLvl w:val="3"/>
    </w:pPr>
    <w:rPr>
      <w:rFonts w:cs="Simplified Arabic"/>
      <w:bCs/>
    </w:rPr>
  </w:style>
  <w:style w:type="paragraph" w:customStyle="1" w:styleId="General3L3">
    <w:name w:val="General 3 L3"/>
    <w:basedOn w:val="Normal"/>
    <w:next w:val="BodyText2"/>
    <w:rsid w:val="00EF2CBF"/>
    <w:pPr>
      <w:numPr>
        <w:ilvl w:val="2"/>
        <w:numId w:val="1"/>
      </w:numPr>
      <w:outlineLvl w:val="2"/>
    </w:pPr>
    <w:rPr>
      <w:rFonts w:cs="Simplified Arabic"/>
      <w:bCs/>
    </w:rPr>
  </w:style>
  <w:style w:type="paragraph" w:styleId="NormalWeb">
    <w:name w:val="Normal (Web)"/>
    <w:basedOn w:val="Normal"/>
    <w:uiPriority w:val="99"/>
    <w:semiHidden/>
    <w:unhideWhenUsed/>
    <w:rsid w:val="00E35FA9"/>
    <w:pPr>
      <w:spacing w:before="100" w:beforeAutospacing="1" w:after="100" w:afterAutospacing="1"/>
      <w:jc w:val="left"/>
    </w:pPr>
    <w:rPr>
      <w:rFonts w:ascii="宋体" w:hAnsi="宋体" w:cs="宋体"/>
      <w:lang w:val="en-US" w:bidi="ar-SA"/>
    </w:rPr>
  </w:style>
  <w:style w:type="paragraph" w:customStyle="1" w:styleId="General3L2">
    <w:name w:val="General 3 L2"/>
    <w:basedOn w:val="Normal"/>
    <w:next w:val="Normal"/>
    <w:rsid w:val="00EF2CBF"/>
    <w:pPr>
      <w:numPr>
        <w:ilvl w:val="1"/>
        <w:numId w:val="1"/>
      </w:numPr>
      <w:outlineLvl w:val="1"/>
    </w:pPr>
    <w:rPr>
      <w:rFonts w:cs="Simplified Arabic"/>
      <w:bCs/>
    </w:rPr>
  </w:style>
  <w:style w:type="paragraph" w:customStyle="1" w:styleId="General3L1">
    <w:name w:val="General 3 L1"/>
    <w:basedOn w:val="Normal"/>
    <w:next w:val="Normal"/>
    <w:rsid w:val="00EF2CBF"/>
    <w:pPr>
      <w:numPr>
        <w:numId w:val="1"/>
      </w:numPr>
      <w:outlineLvl w:val="0"/>
    </w:pPr>
    <w:rPr>
      <w:rFonts w:cs="Simplified Arabic"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C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CBF"/>
    <w:rPr>
      <w:rFonts w:ascii="Times New Roman" w:eastAsia="宋体" w:hAnsi="Times New Roman" w:cs="Times New Roman"/>
      <w:sz w:val="16"/>
      <w:szCs w:val="16"/>
      <w:lang w:bidi="ar-AE"/>
    </w:rPr>
  </w:style>
  <w:style w:type="paragraph" w:styleId="Revision">
    <w:name w:val="Revision"/>
    <w:hidden/>
    <w:uiPriority w:val="99"/>
    <w:semiHidden/>
    <w:rsid w:val="00555FD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bidi="ar-AE"/>
    </w:rPr>
  </w:style>
  <w:style w:type="paragraph" w:styleId="ListParagraph">
    <w:name w:val="List Paragraph"/>
    <w:basedOn w:val="Normal"/>
    <w:uiPriority w:val="34"/>
    <w:qFormat/>
    <w:rsid w:val="00D62EC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General1L1Char">
    <w:name w:val="General 1 L1 Char"/>
    <w:basedOn w:val="DefaultParagraphFont"/>
    <w:link w:val="General1L1"/>
    <w:locked/>
    <w:rsid w:val="00221EED"/>
    <w:rPr>
      <w:rFonts w:ascii="Times New Roman" w:eastAsia="宋体" w:hAnsi="Times New Roman" w:cs="Simplified Arabic"/>
      <w:sz w:val="24"/>
      <w:szCs w:val="24"/>
      <w:lang w:bidi="ar-AE"/>
    </w:rPr>
  </w:style>
  <w:style w:type="paragraph" w:customStyle="1" w:styleId="General1L9">
    <w:name w:val="General 1 L9"/>
    <w:basedOn w:val="Normal"/>
    <w:rsid w:val="00221EED"/>
    <w:pPr>
      <w:numPr>
        <w:ilvl w:val="8"/>
        <w:numId w:val="6"/>
      </w:numPr>
      <w:outlineLvl w:val="8"/>
    </w:pPr>
  </w:style>
  <w:style w:type="paragraph" w:customStyle="1" w:styleId="General1L7">
    <w:name w:val="General 1 L7"/>
    <w:basedOn w:val="Normal"/>
    <w:rsid w:val="00221EED"/>
    <w:pPr>
      <w:numPr>
        <w:ilvl w:val="6"/>
        <w:numId w:val="6"/>
      </w:numPr>
      <w:outlineLvl w:val="6"/>
    </w:pPr>
    <w:rPr>
      <w:rFonts w:cs="Simplified Arabic"/>
    </w:rPr>
  </w:style>
  <w:style w:type="paragraph" w:customStyle="1" w:styleId="General1L5">
    <w:name w:val="General 1 L5"/>
    <w:basedOn w:val="Normal"/>
    <w:next w:val="Normal"/>
    <w:rsid w:val="00221EED"/>
    <w:pPr>
      <w:numPr>
        <w:ilvl w:val="4"/>
        <w:numId w:val="6"/>
      </w:numPr>
      <w:outlineLvl w:val="4"/>
    </w:pPr>
    <w:rPr>
      <w:rFonts w:cs="Simplified Arabic"/>
    </w:rPr>
  </w:style>
  <w:style w:type="paragraph" w:customStyle="1" w:styleId="General1L4">
    <w:name w:val="General 1 L4"/>
    <w:basedOn w:val="Normal"/>
    <w:next w:val="BodyText3"/>
    <w:rsid w:val="00221EED"/>
    <w:pPr>
      <w:numPr>
        <w:ilvl w:val="3"/>
        <w:numId w:val="6"/>
      </w:numPr>
      <w:outlineLvl w:val="3"/>
    </w:pPr>
    <w:rPr>
      <w:rFonts w:cs="Simplified Arabic"/>
    </w:rPr>
  </w:style>
  <w:style w:type="paragraph" w:customStyle="1" w:styleId="General1L2">
    <w:name w:val="General 1 L2"/>
    <w:basedOn w:val="Normal"/>
    <w:next w:val="Normal"/>
    <w:rsid w:val="00221EED"/>
    <w:pPr>
      <w:numPr>
        <w:ilvl w:val="1"/>
        <w:numId w:val="6"/>
      </w:numPr>
      <w:outlineLvl w:val="1"/>
    </w:pPr>
    <w:rPr>
      <w:rFonts w:cs="Simplified Arabic"/>
    </w:rPr>
  </w:style>
  <w:style w:type="paragraph" w:customStyle="1" w:styleId="General1L1">
    <w:name w:val="General 1 L1"/>
    <w:basedOn w:val="Normal"/>
    <w:next w:val="Normal"/>
    <w:link w:val="General1L1Char"/>
    <w:rsid w:val="00221EED"/>
    <w:pPr>
      <w:numPr>
        <w:numId w:val="6"/>
      </w:numPr>
      <w:outlineLvl w:val="0"/>
    </w:pPr>
    <w:rPr>
      <w:rFonts w:cs="Simplified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 A P A C ! 3 0 0 7 5 4 3 1 5 8 2 . 3 < / d o c u m e n t i d >  
     < s e n d e r i d > 6 2 4 5 1 7 < / s e n d e r i d >  
     < s e n d e r e m a i l > M I C H A E L . Y A N @ C L I F F O R D C H A N C E . C O M < / s e n d e r e m a i l >  
     < l a s t m o d i f i e d > 2 0 2 4 - 0 4 - 0 6 T 2 3 : 1 4 : 0 0 . 0 0 0 0 0 0 0 + 0 8 : 0 0 < / l a s t m o d i f i e d >  
     < d a t a b a s e > A P A C < / d a t a b a s e >  
 < / p r o p e r t i e s > 
</file>

<file path=customXml/itemProps1.xml><?xml version="1.0" encoding="utf-8"?>
<ds:datastoreItem xmlns:ds="http://schemas.openxmlformats.org/officeDocument/2006/customXml" ds:itemID="{59C0D383-4D72-4AD0-B121-8A137850F05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541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$Sun, Kunming (Corporate-SHN)</dc:creator>
  <cp:keywords/>
  <cp:lastModifiedBy>$Sun, Kunming (Corporate-SHN)</cp:lastModifiedBy>
  <cp:revision>4</cp:revision>
  <dcterms:created xsi:type="dcterms:W3CDTF">2024-04-24T00:30:00Z</dcterms:created>
  <dcterms:modified xsi:type="dcterms:W3CDTF">2024-04-24T00:30:00Z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10282890407-v2</vt:lpwstr>
  </property>
  <property fmtid="{D5CDD505-2E9C-101B-9397-08002B2CF9AE}" pid="3" name="CCMatter">
    <vt:lpwstr>36-41070188</vt:lpwstr>
  </property>
  <property fmtid="{D5CDD505-2E9C-101B-9397-08002B2CF9AE}" pid="4" name="DOCXDOCID">
    <vt:lpwstr>经修改的简易案件公示表（清洁版） - 20240424 - 24/04/2024 08:30:08</vt:lpwstr>
  </property>
</Properties>
</file>