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7A" w:rsidRDefault="00CF5C7A" w:rsidP="00CF5C7A">
      <w:pPr>
        <w:widowControl/>
        <w:shd w:val="clear" w:color="auto" w:fill="FFFFFF"/>
        <w:rPr>
          <w:rFonts w:ascii="方正小标宋简体" w:eastAsia="方正小标宋简体" w:hAnsi="方正小标宋简体" w:cs="宋体" w:hint="eastAsia"/>
          <w:color w:val="333333"/>
          <w:kern w:val="0"/>
          <w:sz w:val="44"/>
          <w:szCs w:val="44"/>
        </w:rPr>
      </w:pPr>
    </w:p>
    <w:p w:rsidR="00CF5C7A" w:rsidRPr="00CF5C7A" w:rsidRDefault="00CF5C7A" w:rsidP="00CF5C7A">
      <w:pPr>
        <w:widowControl/>
        <w:shd w:val="clear" w:color="auto" w:fill="FFFFFF"/>
        <w:jc w:val="center"/>
        <w:rPr>
          <w:rFonts w:ascii="微软雅黑" w:eastAsia="微软雅黑" w:hAnsi="微软雅黑" w:cs="宋体"/>
          <w:color w:val="333333"/>
          <w:kern w:val="0"/>
          <w:szCs w:val="21"/>
        </w:rPr>
      </w:pPr>
      <w:r w:rsidRPr="00CF5C7A">
        <w:rPr>
          <w:rFonts w:ascii="方正小标宋简体" w:eastAsia="方正小标宋简体" w:hAnsi="方正小标宋简体" w:cs="宋体" w:hint="eastAsia"/>
          <w:color w:val="333333"/>
          <w:kern w:val="0"/>
          <w:sz w:val="44"/>
          <w:szCs w:val="44"/>
        </w:rPr>
        <w:t>特种设备安全监督检查办法</w:t>
      </w:r>
    </w:p>
    <w:p w:rsidR="00CF5C7A" w:rsidRPr="00CF5C7A" w:rsidRDefault="00CF5C7A" w:rsidP="00CF5C7A">
      <w:pPr>
        <w:pStyle w:val="aa"/>
        <w:shd w:val="clear" w:color="auto" w:fill="FFFFFF"/>
        <w:spacing w:line="480" w:lineRule="auto"/>
        <w:ind w:left="420" w:firstLine="420"/>
        <w:rPr>
          <w:rFonts w:ascii="楷体_GB2312" w:eastAsia="楷体_GB2312" w:hAnsi="仿宋" w:hint="eastAsia"/>
          <w:color w:val="333333"/>
          <w:sz w:val="28"/>
          <w:szCs w:val="28"/>
        </w:rPr>
      </w:pPr>
      <w:r w:rsidRPr="00CF5C7A">
        <w:rPr>
          <w:rFonts w:ascii="楷体_GB2312" w:eastAsia="楷体_GB2312" w:hAnsi="仿宋" w:hint="eastAsia"/>
          <w:color w:val="333333"/>
          <w:sz w:val="28"/>
          <w:szCs w:val="28"/>
        </w:rPr>
        <w:t> </w:t>
      </w:r>
      <w:r w:rsidRPr="00CF5C7A">
        <w:rPr>
          <w:rFonts w:ascii="楷体_GB2312" w:eastAsia="楷体_GB2312" w:hAnsi="仿宋" w:hint="eastAsia"/>
          <w:color w:val="333333"/>
          <w:sz w:val="28"/>
          <w:szCs w:val="28"/>
        </w:rPr>
        <w:t xml:space="preserve">（2022年5月26日国家市场监督管理总局令第57号公布 </w:t>
      </w:r>
      <w:r w:rsidRPr="00CF5C7A">
        <w:rPr>
          <w:rFonts w:ascii="楷体_GB2312" w:eastAsia="楷体_GB2312" w:hAnsi="仿宋" w:hint="eastAsia"/>
          <w:color w:val="333333"/>
          <w:sz w:val="28"/>
          <w:szCs w:val="28"/>
        </w:rPr>
        <w:t> </w:t>
      </w:r>
      <w:r w:rsidRPr="00CF5C7A">
        <w:rPr>
          <w:rFonts w:ascii="楷体_GB2312" w:eastAsia="楷体_GB2312" w:hAnsi="仿宋" w:hint="eastAsia"/>
          <w:color w:val="333333"/>
          <w:sz w:val="28"/>
          <w:szCs w:val="28"/>
        </w:rPr>
        <w:t>自2022年7月1日起施行）</w:t>
      </w:r>
    </w:p>
    <w:p w:rsidR="00CF5C7A" w:rsidRPr="00CF5C7A" w:rsidRDefault="00CF5C7A" w:rsidP="00CF5C7A">
      <w:pPr>
        <w:widowControl/>
        <w:shd w:val="clear" w:color="auto" w:fill="FFFFFF"/>
        <w:spacing w:line="594" w:lineRule="atLeast"/>
        <w:jc w:val="center"/>
        <w:rPr>
          <w:rFonts w:ascii="微软雅黑" w:eastAsia="微软雅黑" w:hAnsi="微软雅黑" w:cs="宋体" w:hint="eastAsia"/>
          <w:color w:val="333333"/>
          <w:kern w:val="0"/>
          <w:szCs w:val="21"/>
        </w:rPr>
      </w:pPr>
      <w:bookmarkStart w:id="0" w:name="_GoBack"/>
      <w:bookmarkEnd w:id="0"/>
    </w:p>
    <w:p w:rsidR="00CF5C7A" w:rsidRPr="00CF5C7A" w:rsidRDefault="00CF5C7A" w:rsidP="00CF5C7A">
      <w:pPr>
        <w:widowControl/>
        <w:shd w:val="clear" w:color="auto" w:fill="FFFFFF"/>
        <w:spacing w:line="594" w:lineRule="atLeast"/>
        <w:jc w:val="center"/>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第一章</w:t>
      </w:r>
      <w:r w:rsidRPr="00CF5C7A">
        <w:rPr>
          <w:rFonts w:ascii="宋体" w:eastAsia="宋体" w:hAnsi="宋体" w:cs="宋体" w:hint="eastAsia"/>
          <w:color w:val="333333"/>
          <w:kern w:val="0"/>
          <w:sz w:val="32"/>
          <w:szCs w:val="32"/>
        </w:rPr>
        <w:t>  </w:t>
      </w:r>
      <w:r w:rsidRPr="00CF5C7A">
        <w:rPr>
          <w:rFonts w:ascii="黑体" w:eastAsia="黑体" w:hAnsi="黑体" w:cs="宋体" w:hint="eastAsia"/>
          <w:color w:val="333333"/>
          <w:kern w:val="0"/>
          <w:sz w:val="32"/>
          <w:szCs w:val="32"/>
        </w:rPr>
        <w:t>总则</w:t>
      </w:r>
    </w:p>
    <w:p w:rsidR="00CF5C7A" w:rsidRPr="00CF5C7A" w:rsidRDefault="00CF5C7A" w:rsidP="00CF5C7A">
      <w:pPr>
        <w:widowControl/>
        <w:shd w:val="clear" w:color="auto" w:fill="FFFFFF"/>
        <w:spacing w:line="594" w:lineRule="atLeast"/>
        <w:rPr>
          <w:rFonts w:ascii="微软雅黑" w:eastAsia="微软雅黑" w:hAnsi="微软雅黑" w:cs="宋体" w:hint="eastAsia"/>
          <w:color w:val="333333"/>
          <w:kern w:val="0"/>
          <w:szCs w:val="21"/>
        </w:rPr>
      </w:pPr>
      <w:r w:rsidRPr="00CF5C7A">
        <w:rPr>
          <w:rFonts w:ascii="宋体" w:eastAsia="宋体" w:hAnsi="宋体" w:cs="宋体" w:hint="eastAsia"/>
          <w:color w:val="333333"/>
          <w:kern w:val="0"/>
          <w:sz w:val="32"/>
          <w:szCs w:val="32"/>
        </w:rPr>
        <w:t> </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第一条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为了规范特种设备安全监督检查工作，落实特种设备生产、经营、使用单位和检验、检测机构安全责任，根据《中华人民共和国特种设备安全法》《特种设备安全监察条例》等法律、行政法规，制定本办法。</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市场监督管理部门对特种设备生产（包括设计、制造、安装、改造、修理）、经营、使用（含充装，下同）单位和检验、检测机构实施监督检查，适用本办法。</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国家市场监督管理总局负责监督指导全国特种设备安全监督检查工作，可以根据需要组织开展监督检查。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lastRenderedPageBreak/>
        <w:t>县级以上地方市场监督管理部门负责本行政区域内的特种设备安全监督检查工作，根据上级市场监督管理部门部署或者实际工作需要，组织开展监督检查。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市场监督管理所依照市场监管法律、法规、规章有关规定以及上级市场监督管理部门确定的权限，承担相关特种设备安全监督检查工作。</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第四条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特种设备安全监督检查工作应当遵循风险防控、分级负责、分类实施、照单履职的原则。</w:t>
      </w:r>
    </w:p>
    <w:p w:rsidR="00CF5C7A" w:rsidRPr="00CF5C7A" w:rsidRDefault="00CF5C7A" w:rsidP="00CF5C7A">
      <w:pPr>
        <w:widowControl/>
        <w:shd w:val="clear" w:color="auto" w:fill="FFFFFF"/>
        <w:spacing w:line="594" w:lineRule="atLeast"/>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 </w:t>
      </w:r>
    </w:p>
    <w:p w:rsidR="00CF5C7A" w:rsidRPr="00CF5C7A" w:rsidRDefault="00CF5C7A" w:rsidP="00CF5C7A">
      <w:pPr>
        <w:widowControl/>
        <w:shd w:val="clear" w:color="auto" w:fill="FFFFFF"/>
        <w:spacing w:line="594" w:lineRule="atLeast"/>
        <w:jc w:val="center"/>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第二章</w:t>
      </w:r>
      <w:r w:rsidRPr="00CF5C7A">
        <w:rPr>
          <w:rFonts w:ascii="宋体" w:eastAsia="宋体" w:hAnsi="宋体" w:cs="宋体" w:hint="eastAsia"/>
          <w:color w:val="333333"/>
          <w:kern w:val="0"/>
          <w:sz w:val="32"/>
          <w:szCs w:val="32"/>
        </w:rPr>
        <w:t> </w:t>
      </w:r>
      <w:r w:rsidRPr="00CF5C7A">
        <w:rPr>
          <w:rFonts w:ascii="黑体" w:eastAsia="黑体" w:hAnsi="黑体" w:cs="宋体" w:hint="eastAsia"/>
          <w:color w:val="333333"/>
          <w:kern w:val="0"/>
          <w:sz w:val="32"/>
          <w:szCs w:val="32"/>
        </w:rPr>
        <w:t>监督检查分类</w:t>
      </w:r>
    </w:p>
    <w:p w:rsidR="00CF5C7A" w:rsidRPr="00CF5C7A" w:rsidRDefault="00CF5C7A" w:rsidP="00CF5C7A">
      <w:pPr>
        <w:widowControl/>
        <w:shd w:val="clear" w:color="auto" w:fill="FFFFFF"/>
        <w:spacing w:line="594" w:lineRule="atLeast"/>
        <w:rPr>
          <w:rFonts w:ascii="微软雅黑" w:eastAsia="微软雅黑" w:hAnsi="微软雅黑" w:cs="宋体" w:hint="eastAsia"/>
          <w:color w:val="333333"/>
          <w:kern w:val="0"/>
          <w:szCs w:val="21"/>
        </w:rPr>
      </w:pPr>
      <w:r w:rsidRPr="00CF5C7A">
        <w:rPr>
          <w:rFonts w:ascii="宋体" w:eastAsia="宋体" w:hAnsi="宋体" w:cs="宋体" w:hint="eastAsia"/>
          <w:color w:val="333333"/>
          <w:kern w:val="0"/>
          <w:sz w:val="32"/>
          <w:szCs w:val="32"/>
        </w:rPr>
        <w:t> </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第五条</w:t>
      </w:r>
      <w:r w:rsidRPr="00CF5C7A">
        <w:rPr>
          <w:rFonts w:ascii="宋体" w:eastAsia="宋体" w:hAnsi="宋体"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特种设备安全监督检查分为常规监督检查、专项监督检查、证后监督检查和其他监督检查。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第六条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市场监督管理部门依照年度常规监督检查计划，对特种设备生产、使用单位实施常规监督检查。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常规监督检查的项目和内容按照国家市场监督管理总局的有关规定执行。</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第七条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市级市场监督管理部门负责制定年度常规监督检查计划，确定辖区内市场监督管理部门任务分工，并分级负责实施。</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lastRenderedPageBreak/>
        <w:t>年度常规监督检查计划应当报告同级人民政府。对特种设备生产单位开展的年度常规监督检查计划还应当同时报告省级市场监督管理部门。</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第八条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常规监督检查应当采用“双随机、一公开”方式，随机抽取被检查单位和特种设备安全监督检查人员（以下简称检查人员），并定期公布监督检查结果。</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常规监督检查对象库应当将取得许可资格且住所地在本辖区的特种设备生产单位和本辖区办理特种设备使用登记的使用单位全部纳入。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特种设备生产单位制造地与住所地不在同一辖区的，由制造地的市级市场监督管理部门纳入常规监督检查对象库。</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第九条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市级市场监督管理部门应当根据特种设备安全状况，确定常规监督检查重点单位名录，并对重点单位加大抽取比例。</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符合以下情形之一的，应当列入重点单位名录：</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（一）学校、幼儿园以及医院、车站、客运码头、机场、商场、体育场馆、展览馆、公园、旅游景区等公众聚集场所的特种设备使用单位；</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lastRenderedPageBreak/>
        <w:t>（二）近二年使用的特种设备发生过事故并对事故负有责任的；</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（三）涉及特种设备安全的投诉举报较多，且经调查属实的；</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（四）市场监督管理部门认为应当列入的其他情形。</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为防范区域性、系统性风险，做好重大活动、重点工程以及节假日等重点时段安全保障，或者根据各级人民政府和上级市场监督管理部门的统一部署，在特定时间内对特定区域、领域的特种设备生产、经营、使用单位和检验、检测机构实施专项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第十一条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组织专项监督检查的市场监督管理部门应当制定专项监督检查工作方案，明确监督检查的范围、任务分工、进度安排等要求。</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专项监督检查工作方案应当要求特种设备生产、经营、使用单位和检验、检测机构开展自查自纠，并规定专门的监督检查项目和内容，或者参照常规监督检查的项目和内容执行。</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第十二条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市场监督管理部门对其许可的特种设备生产、充装单位和检验、检测机构是否持续保持许可条件、依法从事许可活动实施证后监督检查。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lastRenderedPageBreak/>
        <w:t>第十三条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证后监督检查由实施行政许可的市场监督管理部门负责组织实施，或者委托下级市场监督管理部门组织实施。</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第十四条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组织实施证后监督检查的市场监督管理部门应当制定证后监督检查年度计划和工作方案。</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证后监督检查年度计划应当明确检查对象、进度安排等要求，工作方案应当明确检查方式、检查内容等要求。</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第十五条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市场监督管理部门开展证后监督检查应当采用“双随机、一公开”方式，随机抽取被检查单位和检查人员，并及时公布监督检查结果。</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证后监督检查对象库应当将本机关许可的特种设备生产、充装单位和检验、检测机构全部列入。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第十六条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市场监督管理部门应当根据特种设备生产、充装质量安全状况或者特种设备检验、检测质量状况，确定证后监督检查重点单位名录，并对重点单位加大抽取比例。</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符合以下情形之一的，应当列入重点单位名录：</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（一）上一年度自我声明承诺换证的；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（二）上一年度生产、充装、检验、检测的特种设备发生过事故并对事故负有责任，或者因特种设备生产、充装、检验、检测问题被行政处罚的；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lastRenderedPageBreak/>
        <w:t>（三）上一年度因产品缺陷未履行主动召回义务被责令召回的；</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（四）涉及特种设备安全的投诉举报较多，且经调查属实的；</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（五）市场监督管理部门认为应当列入的其他情形。</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第十七条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同一年度，对同一单位已经进行证后监督检查的不再进行常规监督检查。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第十八条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对其他部门移送、上级交办、投诉、举报等途径和检验、检测、监测等方式发现的特种设备安全违法行为或者事故隐患线索，根据需要可以对特种设备生产、经营、使用单位和检验、检测机构实施监督检查。开展监督检查前，应当确定针对性的监督检查项目和内容。</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 </w:t>
      </w:r>
    </w:p>
    <w:p w:rsidR="00CF5C7A" w:rsidRPr="00CF5C7A" w:rsidRDefault="00CF5C7A" w:rsidP="00CF5C7A">
      <w:pPr>
        <w:widowControl/>
        <w:shd w:val="clear" w:color="auto" w:fill="FFFFFF"/>
        <w:spacing w:line="594" w:lineRule="atLeast"/>
        <w:jc w:val="center"/>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第三章</w:t>
      </w:r>
      <w:r w:rsidRPr="00CF5C7A">
        <w:rPr>
          <w:rFonts w:ascii="宋体" w:eastAsia="宋体" w:hAnsi="宋体" w:cs="宋体" w:hint="eastAsia"/>
          <w:color w:val="333333"/>
          <w:kern w:val="0"/>
          <w:sz w:val="32"/>
          <w:szCs w:val="32"/>
        </w:rPr>
        <w:t> </w:t>
      </w:r>
      <w:r w:rsidRPr="00CF5C7A">
        <w:rPr>
          <w:rFonts w:ascii="黑体" w:eastAsia="黑体" w:hAnsi="黑体" w:cs="宋体" w:hint="eastAsia"/>
          <w:color w:val="333333"/>
          <w:kern w:val="0"/>
          <w:sz w:val="32"/>
          <w:szCs w:val="32"/>
        </w:rPr>
        <w:t>监督检查程序</w:t>
      </w:r>
    </w:p>
    <w:p w:rsidR="00CF5C7A" w:rsidRPr="00CF5C7A" w:rsidRDefault="00CF5C7A" w:rsidP="00CF5C7A">
      <w:pPr>
        <w:widowControl/>
        <w:shd w:val="clear" w:color="auto" w:fill="FFFFFF"/>
        <w:spacing w:line="594" w:lineRule="atLeast"/>
        <w:rPr>
          <w:rFonts w:ascii="微软雅黑" w:eastAsia="微软雅黑" w:hAnsi="微软雅黑" w:cs="宋体" w:hint="eastAsia"/>
          <w:color w:val="333333"/>
          <w:kern w:val="0"/>
          <w:szCs w:val="21"/>
        </w:rPr>
      </w:pPr>
      <w:r w:rsidRPr="00CF5C7A">
        <w:rPr>
          <w:rFonts w:ascii="宋体" w:eastAsia="宋体" w:hAnsi="宋体" w:cs="宋体" w:hint="eastAsia"/>
          <w:color w:val="333333"/>
          <w:kern w:val="0"/>
          <w:sz w:val="32"/>
          <w:szCs w:val="32"/>
        </w:rPr>
        <w:t> </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第十九条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市场监督管理部门实施监督检查时，应当有二名以上检查人员参加，出示有效的特种设备安全行政执法证件，并说明检查的任务来源、依据、内容、要求等。</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lastRenderedPageBreak/>
        <w:t>市场监督管理部门根据需要可以委托相关具有公益类事业单位法人资格的特种设备检验机构提供监督检查的技术支持和服务，或者邀请相关专业技术人员参加监督检查。</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特种设备生产、经营、使用单位和检验、检测机构及其人员应当积极配合市场监督管理部门依法实施的特种设备安全监督检查。</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特种设备生产、经营、使用单位和检验、检测机构应当按照专项监督检查工作方案的要求开展自查自纠。</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第二十一条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检查人员应当对监督检查的基本情况、发现的问题及处理措施等作出记录，并由检查人员和被检查单位的有关负责人在监督检查记录上签字确认。</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第二十二条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检查人员可以根据监督检查情况，要求被检查单位提供相关材料。被检查单位应当如实提供，并在提供的材料上签名或者盖章。当场无法提供材料的，应当在检查人员通知的期限内提供。</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第二十三条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市场监督管理部门在监督检查中，发现违反特种设备安全法律法规和安全技术规范的行为或者特种设备存在事故隐患的，应当依法发出特种设备安全监察指令，或者交由属</w:t>
      </w:r>
      <w:r w:rsidRPr="00CF5C7A">
        <w:rPr>
          <w:rFonts w:ascii="仿宋_GB2312" w:eastAsia="仿宋_GB2312" w:hAnsi="微软雅黑" w:cs="宋体" w:hint="eastAsia"/>
          <w:color w:val="333333"/>
          <w:kern w:val="0"/>
          <w:sz w:val="32"/>
          <w:szCs w:val="32"/>
        </w:rPr>
        <w:lastRenderedPageBreak/>
        <w:t>地市场监督管理部门依法发出特种设备安全监察指令，责令被检查单位限期采取措施予以改正或者消除事故隐患。</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市场监督管理部门发现重大违法行为或者特种设备存在严重事故隐患的，应当责令被检查单位立即停止违法行为、采取措施消除事故隐患。</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第二十四条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本办法所称重大违法行为包括以下情形：</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（一）未经许可，擅自从事特种设备生产、电梯维护保养、移动式压力容器充装或者气瓶充装活动的；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（二）未经核准，擅自从事特种设备检验、检测的；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（三）特种设备生产单位生产、销售、交付国家明令淘汰的特种设备，或者涂改、倒卖、出租、出借生产许可证的；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（四）特种设备经营单位销售、出租未取得许可生产、未经检验或者检验不合格、国家明令淘汰、已经报废的特种设备的；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（五）谎报或者瞒报特种设备事故的；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（六）检验、检测机构和人员出具虚假或者严重失实的检验、检测结果和鉴定结论的；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（七）被检查单位对严重事故隐患不予整改或者消除的；</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（八）法律、行政法规和部门规章规定的其他重大违法行为。</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第二十五条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特种设备存在严重事故隐患包括以下情形：</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lastRenderedPageBreak/>
        <w:t>（一）特种设备未取得许可生产、国家明令淘汰、已经报废或者达到报废条件，继续使用的；</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（二）特种设备未经监督检验或者经检验、检测不合格，继续使用的；</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（三）特种设备安全附件、安全保护装置缺失或者失灵，继续使用的；</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（四）特种设备发生过事故或者有明显故障，未对其进行全面检查、消除事故隐患，继续使用的；</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（五）特种设备超过规定参数、使用范围使用的；</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（六）市场监督管理部门认为属于严重事故隐患的其他情形。</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第二十六条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市场监督管理部门在监督检查中，对有证据表明不符合安全技术规范要求、存在严重事故隐患、流入市场的达到报废条件或者已经报废的特种设备，应当依法实施查封、扣押。</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当场能够整改的，可以不予查封、扣押。</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第二十七条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监督检查中，被检查单位的有关负责人拒绝在特种设备安全监督检查记录或者相关文书上签字或者以其他方式确认的，检查人员应当在记录或者文书上注明情况，并采取拍</w:t>
      </w:r>
      <w:r w:rsidRPr="00CF5C7A">
        <w:rPr>
          <w:rFonts w:ascii="仿宋_GB2312" w:eastAsia="仿宋_GB2312" w:hAnsi="微软雅黑" w:cs="宋体" w:hint="eastAsia"/>
          <w:color w:val="333333"/>
          <w:kern w:val="0"/>
          <w:sz w:val="32"/>
          <w:szCs w:val="32"/>
        </w:rPr>
        <w:lastRenderedPageBreak/>
        <w:t>照、录音、录像等方式记录，必要时可以邀请有关人员作为见证人。</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被检查单位拒绝签收特种设备安全监察指令的，按照市场监督管理送达行政执法文书的有关规定执行，情节严重的，按照拒不执行特种设备安全监察指令予以处理。</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第二十八条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被检查单位停产、停业或者确有其他无法实施监督检查情形的，检查人员可以终止监督检查，并记录相关情况。</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第二十九条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被检查单位应当根据特种设备安全监察指令，在规定时间内予以改正，消除事故隐患，并提交整改报告。</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市场监督管理部门应当在被检查单位提交整改报告后十个工作日内，对整改情况进行复查。复查可以通过现场检查、材料核查等方式实施。</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采用现场检查进行复查的，复查程序适用本办法。</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第三十条</w:t>
      </w:r>
      <w:r w:rsidRPr="00CF5C7A">
        <w:rPr>
          <w:rFonts w:ascii="宋体" w:eastAsia="宋体" w:hAnsi="宋体" w:cs="宋体" w:hint="eastAsia"/>
          <w:color w:val="333333"/>
          <w:kern w:val="0"/>
          <w:sz w:val="32"/>
          <w:szCs w:val="32"/>
        </w:rPr>
        <w:t> </w:t>
      </w:r>
      <w:r w:rsidRPr="00CF5C7A">
        <w:rPr>
          <w:rFonts w:ascii="仿宋_GB2312" w:eastAsia="仿宋_GB2312" w:hAnsi="微软雅黑" w:cs="宋体" w:hint="eastAsia"/>
          <w:color w:val="333333"/>
          <w:kern w:val="0"/>
          <w:sz w:val="32"/>
          <w:szCs w:val="32"/>
        </w:rPr>
        <w:t>发现重大违法行为或者严重事故隐患的，实施检查的市场监督管理部门应当及时报告上一级市场监督管理部门。</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市场监督管理部门接到报告后，应当采取必要措施，及时予以处理。</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第三十一条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监督检查中对拒绝接受检查、重大违法行为和严重事故隐患的处理，需要属地人民政府和有关部门支持、配合</w:t>
      </w:r>
      <w:r w:rsidRPr="00CF5C7A">
        <w:rPr>
          <w:rFonts w:ascii="仿宋_GB2312" w:eastAsia="仿宋_GB2312" w:hAnsi="微软雅黑" w:cs="宋体" w:hint="eastAsia"/>
          <w:color w:val="333333"/>
          <w:kern w:val="0"/>
          <w:sz w:val="32"/>
          <w:szCs w:val="32"/>
        </w:rPr>
        <w:lastRenderedPageBreak/>
        <w:t>的，市场监督管理部门应当及时以书面形式报告属地人民政府或者通报有关部门，并提出相关安全监管建议。</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接到报告或者通报的人民政府和其他有关部门依法采取必要措施及时处理时，市场监督管理部门应当积极予以配合。</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第三十二条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特种设备安全行政处罚由违法行为发生地的县级以上市场监督管理部门实施。</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违法行为发生地的县级以上市场监督管理部门依法吊销特种设备检验、检测人员及安全管理和作业人员行政许可的，应当将行政处罚决定抄送发证机关，由发证机关办理注销手续。</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违法行为发生地的县级以上市场监督管理部门案件办理过程中，发现依法应当吊销特种设备生产、充装单位和特种设备检验、检测机构行政许可的，应当在作出相关行政处罚决定后，将涉及吊销许可证的违法行为证据材料移送发证机关，由发证机关依法予以吊销。</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发现依法应当撤销许可的违法行为的，实施监督检查的市场监督管理部门应当及时向发证机关通报，并随附相关证据材料，由发证机关依法予以撤销。</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 </w:t>
      </w:r>
    </w:p>
    <w:p w:rsidR="00CF5C7A" w:rsidRPr="00CF5C7A" w:rsidRDefault="00CF5C7A" w:rsidP="00CF5C7A">
      <w:pPr>
        <w:widowControl/>
        <w:shd w:val="clear" w:color="auto" w:fill="FFFFFF"/>
        <w:spacing w:line="594" w:lineRule="atLeast"/>
        <w:jc w:val="center"/>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第四章</w:t>
      </w:r>
      <w:r w:rsidRPr="00CF5C7A">
        <w:rPr>
          <w:rFonts w:ascii="宋体" w:eastAsia="宋体" w:hAnsi="宋体" w:cs="宋体" w:hint="eastAsia"/>
          <w:color w:val="333333"/>
          <w:kern w:val="0"/>
          <w:sz w:val="32"/>
          <w:szCs w:val="32"/>
        </w:rPr>
        <w:t> </w:t>
      </w:r>
      <w:r w:rsidRPr="00CF5C7A">
        <w:rPr>
          <w:rFonts w:ascii="黑体" w:eastAsia="黑体" w:hAnsi="黑体" w:cs="宋体" w:hint="eastAsia"/>
          <w:color w:val="333333"/>
          <w:kern w:val="0"/>
          <w:sz w:val="32"/>
          <w:szCs w:val="32"/>
        </w:rPr>
        <w:t>法律责任</w:t>
      </w:r>
    </w:p>
    <w:p w:rsidR="00CF5C7A" w:rsidRPr="00CF5C7A" w:rsidRDefault="00CF5C7A" w:rsidP="00CF5C7A">
      <w:pPr>
        <w:widowControl/>
        <w:shd w:val="clear" w:color="auto" w:fill="FFFFFF"/>
        <w:spacing w:line="594" w:lineRule="atLeast"/>
        <w:rPr>
          <w:rFonts w:ascii="微软雅黑" w:eastAsia="微软雅黑" w:hAnsi="微软雅黑" w:cs="宋体" w:hint="eastAsia"/>
          <w:color w:val="333333"/>
          <w:kern w:val="0"/>
          <w:szCs w:val="21"/>
        </w:rPr>
      </w:pPr>
      <w:r w:rsidRPr="00CF5C7A">
        <w:rPr>
          <w:rFonts w:ascii="宋体" w:eastAsia="宋体" w:hAnsi="宋体" w:cs="宋体" w:hint="eastAsia"/>
          <w:color w:val="333333"/>
          <w:kern w:val="0"/>
          <w:sz w:val="32"/>
          <w:szCs w:val="32"/>
        </w:rPr>
        <w:lastRenderedPageBreak/>
        <w:t> </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第三十三条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违反本办法的规定，特种设备有关法律法规已有法律责任规定的，依照相关规定处理；有关法律法规以及本办法其他条款没有规定法律责任的，责令限期改正；涉嫌构成犯罪，依法需要追究刑事责任的，按照有关规定移送公安机关、监察机关。</w:t>
      </w:r>
    </w:p>
    <w:p w:rsidR="00CF5C7A" w:rsidRPr="00CF5C7A" w:rsidRDefault="00CF5C7A" w:rsidP="00CF5C7A">
      <w:pPr>
        <w:widowControl/>
        <w:shd w:val="clear" w:color="auto" w:fill="FFFFFF"/>
        <w:spacing w:line="594" w:lineRule="atLeast"/>
        <w:ind w:firstLine="64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第三十四条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被检查单位无正当理由拒绝检查人员进入特种设备生产、经营、使用、检验、检测场所检查，不予配合或者拖延、阻碍监督检查正常开展的，按照《中华人民共和国特种设备安全法》第九十五条规定予以处理。构成违反治安管理行为的，移送公安机关，由公安机关依法给予治安管理处罚。</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第三十五条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被检查单位未按要求进行自查自纠的，责令限期改正；逾期未改正的，处五千元以上三万元以下罚款。</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被检查单位在检查中隐匿证据、提供虚假材料或者未在通知的期限内提供有关材料的，责令限期改正；逾期未改正的，处一万元以上十万元以下罚款。</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第三十六条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特种设备生产、经营、使用单位和检验、检测机构违反本办法第二十九条第一款，拒不执行特种设备安全监察</w:t>
      </w:r>
      <w:r w:rsidRPr="00CF5C7A">
        <w:rPr>
          <w:rFonts w:ascii="仿宋_GB2312" w:eastAsia="仿宋_GB2312" w:hAnsi="微软雅黑" w:cs="宋体" w:hint="eastAsia"/>
          <w:color w:val="333333"/>
          <w:kern w:val="0"/>
          <w:sz w:val="32"/>
          <w:szCs w:val="32"/>
        </w:rPr>
        <w:lastRenderedPageBreak/>
        <w:t>指令的，处五千元以上十万元以下罚款；情节严重的，处十万元以上二十万元以下罚款。</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第三十七条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特种设备安全监督检查人员在监督检查中未依法履行职责，需要承担行政执法过错责任的，按照有关法律法规及《市场监督管理行政执法责任制规定》的有关规定执行。</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市场监督管理部门及其工作人员在特种设备安全监督检查中涉嫌违纪违法的，移送纪检监察机关依法给予党纪政务处分；涉嫌犯罪的，移送监察机关、司法机关依法处理。</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仿宋_GB2312" w:eastAsia="仿宋_GB2312" w:hAnsi="微软雅黑" w:cs="宋体" w:hint="eastAsia"/>
          <w:color w:val="333333"/>
          <w:kern w:val="0"/>
          <w:sz w:val="32"/>
          <w:szCs w:val="32"/>
        </w:rPr>
        <w:t> </w:t>
      </w:r>
    </w:p>
    <w:p w:rsidR="00CF5C7A" w:rsidRPr="00CF5C7A" w:rsidRDefault="00CF5C7A" w:rsidP="00CF5C7A">
      <w:pPr>
        <w:widowControl/>
        <w:shd w:val="clear" w:color="auto" w:fill="FFFFFF"/>
        <w:spacing w:line="594" w:lineRule="atLeast"/>
        <w:jc w:val="center"/>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第五章</w:t>
      </w:r>
      <w:r w:rsidRPr="00CF5C7A">
        <w:rPr>
          <w:rFonts w:ascii="宋体" w:eastAsia="宋体" w:hAnsi="宋体" w:cs="宋体" w:hint="eastAsia"/>
          <w:color w:val="333333"/>
          <w:kern w:val="0"/>
          <w:sz w:val="32"/>
          <w:szCs w:val="32"/>
        </w:rPr>
        <w:t> </w:t>
      </w:r>
      <w:r w:rsidRPr="00CF5C7A">
        <w:rPr>
          <w:rFonts w:ascii="黑体" w:eastAsia="黑体" w:hAnsi="黑体" w:cs="宋体" w:hint="eastAsia"/>
          <w:color w:val="333333"/>
          <w:kern w:val="0"/>
          <w:sz w:val="32"/>
          <w:szCs w:val="32"/>
        </w:rPr>
        <w:t>附则</w:t>
      </w:r>
    </w:p>
    <w:p w:rsidR="00CF5C7A" w:rsidRPr="00CF5C7A" w:rsidRDefault="00CF5C7A" w:rsidP="00CF5C7A">
      <w:pPr>
        <w:widowControl/>
        <w:shd w:val="clear" w:color="auto" w:fill="FFFFFF"/>
        <w:spacing w:line="594" w:lineRule="atLeast"/>
        <w:rPr>
          <w:rFonts w:ascii="微软雅黑" w:eastAsia="微软雅黑" w:hAnsi="微软雅黑" w:cs="宋体" w:hint="eastAsia"/>
          <w:color w:val="333333"/>
          <w:kern w:val="0"/>
          <w:szCs w:val="21"/>
        </w:rPr>
      </w:pPr>
      <w:r w:rsidRPr="00CF5C7A">
        <w:rPr>
          <w:rFonts w:ascii="宋体" w:eastAsia="宋体" w:hAnsi="宋体" w:cs="宋体" w:hint="eastAsia"/>
          <w:color w:val="333333"/>
          <w:kern w:val="0"/>
          <w:sz w:val="32"/>
          <w:szCs w:val="32"/>
        </w:rPr>
        <w:t> </w:t>
      </w:r>
    </w:p>
    <w:p w:rsidR="00CF5C7A" w:rsidRPr="00CF5C7A" w:rsidRDefault="00CF5C7A" w:rsidP="00CF5C7A">
      <w:pPr>
        <w:widowControl/>
        <w:shd w:val="clear" w:color="auto" w:fill="FFFFFF"/>
        <w:spacing w:line="594" w:lineRule="atLeast"/>
        <w:ind w:firstLine="600"/>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第三十八条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特种设备安全监督检查人员履职所需装备按照市场监督管理基层执法装备配备的有关要求执行。</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第三十九条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特种设备安全监督检查文书格式由国家市场监督管理总局制定。</w:t>
      </w:r>
    </w:p>
    <w:p w:rsidR="00CF5C7A" w:rsidRPr="00CF5C7A" w:rsidRDefault="00CF5C7A" w:rsidP="00CF5C7A">
      <w:pPr>
        <w:widowControl/>
        <w:shd w:val="clear" w:color="auto" w:fill="FFFFFF"/>
        <w:spacing w:line="594" w:lineRule="atLeast"/>
        <w:ind w:firstLine="645"/>
        <w:rPr>
          <w:rFonts w:ascii="微软雅黑" w:eastAsia="微软雅黑" w:hAnsi="微软雅黑" w:cs="宋体" w:hint="eastAsia"/>
          <w:color w:val="333333"/>
          <w:kern w:val="0"/>
          <w:szCs w:val="21"/>
        </w:rPr>
      </w:pPr>
      <w:r w:rsidRPr="00CF5C7A">
        <w:rPr>
          <w:rFonts w:ascii="黑体" w:eastAsia="黑体" w:hAnsi="黑体" w:cs="宋体" w:hint="eastAsia"/>
          <w:color w:val="333333"/>
          <w:kern w:val="0"/>
          <w:sz w:val="32"/>
          <w:szCs w:val="32"/>
        </w:rPr>
        <w:t>第四十条</w:t>
      </w:r>
      <w:r w:rsidRPr="00CF5C7A">
        <w:rPr>
          <w:rFonts w:ascii="仿宋_GB2312" w:eastAsia="仿宋_GB2312" w:hAnsi="微软雅黑" w:cs="宋体" w:hint="eastAsia"/>
          <w:color w:val="333333"/>
          <w:kern w:val="0"/>
          <w:sz w:val="32"/>
          <w:szCs w:val="32"/>
        </w:rPr>
        <w:t> </w:t>
      </w:r>
      <w:r w:rsidRPr="00CF5C7A">
        <w:rPr>
          <w:rFonts w:ascii="仿宋_GB2312" w:eastAsia="仿宋_GB2312" w:hAnsi="微软雅黑" w:cs="宋体" w:hint="eastAsia"/>
          <w:color w:val="333333"/>
          <w:kern w:val="0"/>
          <w:sz w:val="32"/>
          <w:szCs w:val="32"/>
        </w:rPr>
        <w:t>本办法自</w:t>
      </w:r>
      <w:r w:rsidRPr="00CF5C7A">
        <w:rPr>
          <w:rFonts w:ascii="Times New Roman" w:eastAsia="微软雅黑" w:hAnsi="Times New Roman" w:cs="Times New Roman" w:hint="eastAsia"/>
          <w:color w:val="333333"/>
          <w:kern w:val="0"/>
          <w:sz w:val="32"/>
          <w:szCs w:val="32"/>
        </w:rPr>
        <w:t>2022</w:t>
      </w:r>
      <w:r w:rsidRPr="00CF5C7A">
        <w:rPr>
          <w:rFonts w:ascii="仿宋_GB2312" w:eastAsia="仿宋_GB2312" w:hAnsi="微软雅黑" w:cs="宋体" w:hint="eastAsia"/>
          <w:color w:val="333333"/>
          <w:kern w:val="0"/>
          <w:sz w:val="32"/>
          <w:szCs w:val="32"/>
        </w:rPr>
        <w:t>年</w:t>
      </w:r>
      <w:r w:rsidRPr="00CF5C7A">
        <w:rPr>
          <w:rFonts w:ascii="Times New Roman" w:eastAsia="微软雅黑" w:hAnsi="Times New Roman" w:cs="Times New Roman" w:hint="eastAsia"/>
          <w:color w:val="333333"/>
          <w:kern w:val="0"/>
          <w:sz w:val="32"/>
          <w:szCs w:val="32"/>
        </w:rPr>
        <w:t>7</w:t>
      </w:r>
      <w:r w:rsidRPr="00CF5C7A">
        <w:rPr>
          <w:rFonts w:ascii="仿宋_GB2312" w:eastAsia="仿宋_GB2312" w:hAnsi="微软雅黑" w:cs="宋体" w:hint="eastAsia"/>
          <w:color w:val="333333"/>
          <w:kern w:val="0"/>
          <w:sz w:val="32"/>
          <w:szCs w:val="32"/>
        </w:rPr>
        <w:t>月</w:t>
      </w:r>
      <w:r w:rsidRPr="00CF5C7A">
        <w:rPr>
          <w:rFonts w:ascii="Times New Roman" w:eastAsia="微软雅黑" w:hAnsi="Times New Roman" w:cs="Times New Roman" w:hint="eastAsia"/>
          <w:color w:val="333333"/>
          <w:kern w:val="0"/>
          <w:sz w:val="32"/>
          <w:szCs w:val="32"/>
        </w:rPr>
        <w:t>1</w:t>
      </w:r>
      <w:r w:rsidRPr="00CF5C7A">
        <w:rPr>
          <w:rFonts w:ascii="仿宋_GB2312" w:eastAsia="仿宋_GB2312" w:hAnsi="微软雅黑" w:cs="宋体" w:hint="eastAsia"/>
          <w:color w:val="333333"/>
          <w:kern w:val="0"/>
          <w:sz w:val="32"/>
          <w:szCs w:val="32"/>
        </w:rPr>
        <w:t>日起施行。</w:t>
      </w:r>
    </w:p>
    <w:p w:rsidR="00891FFC" w:rsidRPr="002B12B6" w:rsidRDefault="00891FFC" w:rsidP="002B12B6"/>
    <w:sectPr w:rsidR="00891FFC" w:rsidRPr="002B12B6">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56" w:rsidRDefault="00AA3F56">
      <w:r>
        <w:separator/>
      </w:r>
    </w:p>
  </w:endnote>
  <w:endnote w:type="continuationSeparator" w:id="0">
    <w:p w:rsidR="00AA3F56" w:rsidRDefault="00AA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5C7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5C7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56" w:rsidRDefault="00AA3F56">
      <w:r>
        <w:separator/>
      </w:r>
    </w:p>
  </w:footnote>
  <w:footnote w:type="continuationSeparator" w:id="0">
    <w:p w:rsidR="00AA3F56" w:rsidRDefault="00AA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421"/>
    <w:multiLevelType w:val="hybridMultilevel"/>
    <w:tmpl w:val="FA7AABB0"/>
    <w:lvl w:ilvl="0" w:tplc="CB505BA4">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8513D"/>
    <w:rsid w:val="00190F0F"/>
    <w:rsid w:val="001D4776"/>
    <w:rsid w:val="002B12B6"/>
    <w:rsid w:val="002F2B45"/>
    <w:rsid w:val="003E6E04"/>
    <w:rsid w:val="004161EA"/>
    <w:rsid w:val="00421521"/>
    <w:rsid w:val="00562593"/>
    <w:rsid w:val="006120F8"/>
    <w:rsid w:val="00617D91"/>
    <w:rsid w:val="00637CAC"/>
    <w:rsid w:val="00750507"/>
    <w:rsid w:val="007D773D"/>
    <w:rsid w:val="00891FFC"/>
    <w:rsid w:val="00915729"/>
    <w:rsid w:val="00960532"/>
    <w:rsid w:val="009D125D"/>
    <w:rsid w:val="00AA3F56"/>
    <w:rsid w:val="00AC5533"/>
    <w:rsid w:val="00B34033"/>
    <w:rsid w:val="00B7088B"/>
    <w:rsid w:val="00B900B7"/>
    <w:rsid w:val="00BA7A05"/>
    <w:rsid w:val="00C20FB3"/>
    <w:rsid w:val="00C26E20"/>
    <w:rsid w:val="00CE6933"/>
    <w:rsid w:val="00CF5C7A"/>
    <w:rsid w:val="00D7266E"/>
    <w:rsid w:val="00F1250C"/>
    <w:rsid w:val="00F61360"/>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character" w:customStyle="1" w:styleId="15">
    <w:name w:val="15"/>
    <w:basedOn w:val="a0"/>
    <w:rsid w:val="002B12B6"/>
  </w:style>
  <w:style w:type="paragraph" w:customStyle="1" w:styleId="p">
    <w:name w:val="p"/>
    <w:basedOn w:val="a"/>
    <w:rsid w:val="00CF5C7A"/>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character" w:customStyle="1" w:styleId="15">
    <w:name w:val="15"/>
    <w:basedOn w:val="a0"/>
    <w:rsid w:val="002B12B6"/>
  </w:style>
  <w:style w:type="paragraph" w:customStyle="1" w:styleId="p">
    <w:name w:val="p"/>
    <w:basedOn w:val="a"/>
    <w:rsid w:val="00CF5C7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5851">
      <w:bodyDiv w:val="1"/>
      <w:marLeft w:val="0"/>
      <w:marRight w:val="0"/>
      <w:marTop w:val="0"/>
      <w:marBottom w:val="0"/>
      <w:divBdr>
        <w:top w:val="none" w:sz="0" w:space="0" w:color="auto"/>
        <w:left w:val="none" w:sz="0" w:space="0" w:color="auto"/>
        <w:bottom w:val="none" w:sz="0" w:space="0" w:color="auto"/>
        <w:right w:val="none" w:sz="0" w:space="0" w:color="auto"/>
      </w:divBdr>
      <w:divsChild>
        <w:div w:id="1827281548">
          <w:marLeft w:val="0"/>
          <w:marRight w:val="0"/>
          <w:marTop w:val="0"/>
          <w:marBottom w:val="0"/>
          <w:divBdr>
            <w:top w:val="none" w:sz="0" w:space="0" w:color="auto"/>
            <w:left w:val="none" w:sz="0" w:space="0" w:color="auto"/>
            <w:bottom w:val="none" w:sz="0" w:space="0" w:color="auto"/>
            <w:right w:val="none" w:sz="0" w:space="0" w:color="auto"/>
          </w:divBdr>
          <w:divsChild>
            <w:div w:id="1127696368">
              <w:marLeft w:val="0"/>
              <w:marRight w:val="0"/>
              <w:marTop w:val="0"/>
              <w:marBottom w:val="0"/>
              <w:divBdr>
                <w:top w:val="none" w:sz="0" w:space="0" w:color="auto"/>
                <w:left w:val="none" w:sz="0" w:space="0" w:color="auto"/>
                <w:bottom w:val="none" w:sz="0" w:space="0" w:color="auto"/>
                <w:right w:val="none" w:sz="0" w:space="0" w:color="auto"/>
              </w:divBdr>
              <w:divsChild>
                <w:div w:id="311494314">
                  <w:marLeft w:val="0"/>
                  <w:marRight w:val="0"/>
                  <w:marTop w:val="0"/>
                  <w:marBottom w:val="0"/>
                  <w:divBdr>
                    <w:top w:val="single" w:sz="6" w:space="0" w:color="D3DCEA"/>
                    <w:left w:val="single" w:sz="6" w:space="0" w:color="D3DCEA"/>
                    <w:bottom w:val="single" w:sz="6" w:space="0" w:color="D3DCEA"/>
                    <w:right w:val="single" w:sz="6" w:space="0" w:color="D3DCEA"/>
                  </w:divBdr>
                  <w:divsChild>
                    <w:div w:id="5914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26365833">
      <w:bodyDiv w:val="1"/>
      <w:marLeft w:val="0"/>
      <w:marRight w:val="0"/>
      <w:marTop w:val="0"/>
      <w:marBottom w:val="0"/>
      <w:divBdr>
        <w:top w:val="none" w:sz="0" w:space="0" w:color="auto"/>
        <w:left w:val="none" w:sz="0" w:space="0" w:color="auto"/>
        <w:bottom w:val="none" w:sz="0" w:space="0" w:color="auto"/>
        <w:right w:val="none" w:sz="0" w:space="0" w:color="auto"/>
      </w:divBdr>
    </w:div>
    <w:div w:id="873271952">
      <w:bodyDiv w:val="1"/>
      <w:marLeft w:val="0"/>
      <w:marRight w:val="0"/>
      <w:marTop w:val="0"/>
      <w:marBottom w:val="0"/>
      <w:divBdr>
        <w:top w:val="none" w:sz="0" w:space="0" w:color="auto"/>
        <w:left w:val="none" w:sz="0" w:space="0" w:color="auto"/>
        <w:bottom w:val="none" w:sz="0" w:space="0" w:color="auto"/>
        <w:right w:val="none" w:sz="0" w:space="0" w:color="auto"/>
      </w:divBdr>
    </w:div>
    <w:div w:id="2007396989">
      <w:bodyDiv w:val="1"/>
      <w:marLeft w:val="0"/>
      <w:marRight w:val="0"/>
      <w:marTop w:val="0"/>
      <w:marBottom w:val="0"/>
      <w:divBdr>
        <w:top w:val="none" w:sz="0" w:space="0" w:color="auto"/>
        <w:left w:val="none" w:sz="0" w:space="0" w:color="auto"/>
        <w:bottom w:val="none" w:sz="0" w:space="0" w:color="auto"/>
        <w:right w:val="none" w:sz="0" w:space="0" w:color="auto"/>
      </w:divBdr>
    </w:div>
    <w:div w:id="2087993610">
      <w:bodyDiv w:val="1"/>
      <w:marLeft w:val="0"/>
      <w:marRight w:val="0"/>
      <w:marTop w:val="0"/>
      <w:marBottom w:val="0"/>
      <w:divBdr>
        <w:top w:val="none" w:sz="0" w:space="0" w:color="auto"/>
        <w:left w:val="none" w:sz="0" w:space="0" w:color="auto"/>
        <w:bottom w:val="none" w:sz="0" w:space="0" w:color="auto"/>
        <w:right w:val="none" w:sz="0" w:space="0" w:color="auto"/>
      </w:divBdr>
    </w:div>
    <w:div w:id="209859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760</Words>
  <Characters>4334</Characters>
  <Application>Microsoft Office Word</Application>
  <DocSecurity>0</DocSecurity>
  <Lines>36</Lines>
  <Paragraphs>10</Paragraphs>
  <ScaleCrop>false</ScaleCrop>
  <Company>Home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34</cp:revision>
  <cp:lastPrinted>2021-10-26T03:30:00Z</cp:lastPrinted>
  <dcterms:created xsi:type="dcterms:W3CDTF">2021-09-09T02:41:00Z</dcterms:created>
  <dcterms:modified xsi:type="dcterms:W3CDTF">2022-05-27T08:47:00Z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