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 xml:space="preserve">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辅酶Q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vertAlign w:val="subscript"/>
          <w:lang w:val="en-US" w:eastAsia="zh-CN"/>
        </w:rPr>
        <w:t>10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等五种保健食品原料目录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备案产品主要生产工艺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辅酶Q</w:t>
      </w:r>
      <w:r>
        <w:rPr>
          <w:rFonts w:hint="eastAsia" w:ascii="仿宋_GB2312" w:hAnsi="仿宋_GB2312" w:eastAsia="仿宋_GB2312" w:cs="仿宋_GB2312"/>
          <w:sz w:val="21"/>
          <w:szCs w:val="24"/>
          <w:vertAlign w:val="baseline"/>
        </w:rPr>
        <w:t>10</w:t>
      </w:r>
      <w:r>
        <w:rPr>
          <w:rFonts w:hint="eastAsia" w:ascii="仿宋_GB2312" w:hAnsi="仿宋_GB2312" w:eastAsia="仿宋_GB2312" w:cs="仿宋_GB2312"/>
          <w:sz w:val="21"/>
          <w:szCs w:val="24"/>
        </w:rPr>
        <w:t>、鱼油、破壁灵芝孢子粉、螺旋藻和褪黑素</w:t>
      </w:r>
      <w:r>
        <w:rPr>
          <w:rFonts w:hint="eastAsia" w:ascii="仿宋_GB2312" w:hAnsi="仿宋_GB2312" w:eastAsia="仿宋_GB2312" w:cs="仿宋_GB2312"/>
          <w:sz w:val="21"/>
          <w:szCs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1"/>
          <w:szCs w:val="24"/>
        </w:rPr>
        <w:t>种保健食品原料</w:t>
      </w:r>
      <w:r>
        <w:rPr>
          <w:rFonts w:hint="eastAsia" w:ascii="仿宋_GB2312" w:hAnsi="仿宋_GB2312" w:eastAsia="仿宋_GB2312" w:cs="仿宋_GB2312"/>
          <w:sz w:val="21"/>
          <w:szCs w:val="24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21"/>
          <w:szCs w:val="24"/>
        </w:rPr>
        <w:t>在产品备案时，主要使用生产工艺如下：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一、片剂：粉碎、过筛、混合、制粒、干燥、压片、包衣、包装等。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二、硬胶囊：粉碎、过筛、混合、制粒、干燥、装囊、包装等。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三、软胶囊：干燥、混合、均质、过滤、压丸、包装等。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四、颗粒：粉碎、过筛、混合、制粒、干燥、包装等。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五、粉剂：粉碎、过筛、混合、分装、包装等。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 w:firstLineChars="0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六、经预混、包埋、微囊化等前处理的原料，应以预混（**、**、**）、包埋（**、**、**）、微囊化（**、**、**）等形式，标注经预混、包埋、微囊化等前处理的原料名称。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394E"/>
    <w:rsid w:val="6C5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2020-08-12T08:13:00Z</dcterms:created>
  <dc:creator>周石平</dc:creator>
  <cp:lastModifiedBy>周石平</cp:lastModifiedBy>
  <dcterms:modified xsi:type="dcterms:W3CDTF">2020-08-12T08:14:01Z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