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94" w:lineRule="exact"/>
        <w:jc w:val="center"/>
        <w:rPr>
          <w:rFonts w:eastAsia="黑体"/>
          <w:bCs/>
          <w:color w:val="000000"/>
          <w:sz w:val="52"/>
          <w:szCs w:val="52"/>
        </w:rPr>
      </w:pPr>
      <w:r>
        <w:rPr>
          <w:rFonts w:hint="eastAsia" w:eastAsia="黑体"/>
          <w:bCs/>
          <w:color w:val="000000"/>
          <w:spacing w:val="30"/>
          <w:sz w:val="52"/>
          <w:szCs w:val="52"/>
          <w:fitText w:val="5742" w:id="0"/>
        </w:rPr>
        <w:t>国家市场监督管理总</w:t>
      </w:r>
      <w:r>
        <w:rPr>
          <w:rFonts w:hint="eastAsia" w:eastAsia="黑体"/>
          <w:bCs/>
          <w:color w:val="000000"/>
          <w:spacing w:val="1"/>
          <w:sz w:val="52"/>
          <w:szCs w:val="52"/>
          <w:fitText w:val="5742" w:id="0"/>
        </w:rPr>
        <w:t>局</w:t>
      </w:r>
    </w:p>
    <w:p>
      <w:pPr>
        <w:spacing w:line="594" w:lineRule="exact"/>
        <w:jc w:val="center"/>
        <w:rPr>
          <w:rFonts w:eastAsia="仿宋_GB2312"/>
          <w:color w:val="000000"/>
          <w:sz w:val="44"/>
          <w:szCs w:val="44"/>
        </w:rPr>
      </w:pPr>
      <w:r>
        <w:rPr>
          <w:rFonts w:hint="eastAsia" w:eastAsia="黑体"/>
          <w:bCs/>
          <w:color w:val="000000"/>
          <w:spacing w:val="175"/>
          <w:sz w:val="52"/>
          <w:szCs w:val="52"/>
          <w:fitText w:val="5742" w:id="1"/>
        </w:rPr>
        <w:t>行政处罚决定</w:t>
      </w:r>
      <w:r>
        <w:rPr>
          <w:rFonts w:hint="eastAsia" w:eastAsia="黑体"/>
          <w:bCs/>
          <w:color w:val="000000"/>
          <w:spacing w:val="1"/>
          <w:sz w:val="52"/>
          <w:szCs w:val="52"/>
          <w:fitText w:val="5742" w:id="1"/>
        </w:rPr>
        <w:t>书</w:t>
      </w:r>
    </w:p>
    <w:p>
      <w:pPr>
        <w:spacing w:line="594" w:lineRule="exact"/>
        <w:jc w:val="center"/>
        <w:rPr>
          <w:rFonts w:eastAsia="仿宋_GB2312"/>
          <w:sz w:val="32"/>
          <w:szCs w:val="32"/>
        </w:rPr>
      </w:pPr>
      <w:r>
        <w:rPr>
          <w:rFonts w:hint="eastAsia" w:eastAsia="仿宋_GB2312"/>
          <w:sz w:val="32"/>
          <w:szCs w:val="32"/>
        </w:rPr>
        <w:t>国市监处〔2021〕</w:t>
      </w:r>
      <w:r>
        <w:rPr>
          <w:rFonts w:hint="eastAsia" w:eastAsia="仿宋_GB2312"/>
          <w:sz w:val="32"/>
          <w:szCs w:val="32"/>
          <w:lang w:val="en-US" w:eastAsia="zh-CN"/>
        </w:rPr>
        <w:t>63</w:t>
      </w:r>
      <w:r>
        <w:rPr>
          <w:rFonts w:hint="eastAsia" w:eastAsia="仿宋_GB2312"/>
          <w:sz w:val="32"/>
          <w:szCs w:val="32"/>
        </w:rPr>
        <w:t>号</w:t>
      </w:r>
    </w:p>
    <w:p>
      <w:pPr>
        <w:spacing w:line="594" w:lineRule="exact"/>
        <w:jc w:val="center"/>
        <w:rPr>
          <w:rFonts w:eastAsia="仿宋_GB2312"/>
          <w:sz w:val="28"/>
          <w:szCs w:val="28"/>
        </w:rPr>
      </w:pP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rPr>
          <w:rFonts w:eastAsia="仿宋_GB2312"/>
          <w:sz w:val="32"/>
          <w:szCs w:val="32"/>
        </w:rPr>
      </w:pPr>
      <w:r>
        <w:rPr>
          <w:rFonts w:hint="eastAsia" w:ascii="黑体" w:hAnsi="黑体" w:eastAsia="黑体" w:cs="黑体"/>
          <w:sz w:val="32"/>
          <w:szCs w:val="32"/>
        </w:rPr>
        <w:t>当事人：</w:t>
      </w:r>
      <w:r>
        <w:rPr>
          <w:rFonts w:hint="eastAsia" w:ascii="Times New Roman" w:hAnsi="Times New Roman" w:eastAsia="仿宋_GB2312" w:cs="Times New Roman"/>
          <w:sz w:val="32"/>
          <w:szCs w:val="32"/>
          <w:lang w:val="en-GB" w:eastAsia="zh-CN"/>
        </w:rPr>
        <w:t>三菱重工业株式会社</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rPr>
          <w:rFonts w:hint="eastAsia" w:eastAsia="仿宋_GB2312"/>
          <w:sz w:val="32"/>
          <w:szCs w:val="32"/>
          <w:lang w:val="en-US" w:eastAsia="zh-CN"/>
        </w:rPr>
      </w:pPr>
      <w:r>
        <w:rPr>
          <w:rFonts w:hint="eastAsia" w:ascii="黑体" w:hAnsi="黑体" w:eastAsia="黑体" w:cs="黑体"/>
          <w:sz w:val="32"/>
          <w:szCs w:val="32"/>
        </w:rPr>
        <w:t>住  所：</w:t>
      </w:r>
      <w:r>
        <w:rPr>
          <w:rFonts w:hint="eastAsia" w:eastAsia="仿宋_GB2312"/>
          <w:sz w:val="32"/>
          <w:szCs w:val="32"/>
          <w:lang w:eastAsia="zh-CN"/>
        </w:rPr>
        <w:t>日本东京都千代田区丸之内三丁目</w:t>
      </w:r>
      <w:r>
        <w:rPr>
          <w:rFonts w:hint="eastAsia" w:eastAsia="仿宋_GB2312"/>
          <w:sz w:val="32"/>
          <w:szCs w:val="32"/>
          <w:lang w:val="en-US" w:eastAsia="zh-CN"/>
        </w:rPr>
        <w:t>2番3号</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rPr>
          <w:rFonts w:hint="eastAsia" w:ascii="Times New Roman" w:hAnsi="Times New Roman" w:eastAsia="仿宋_GB2312" w:cs="Times New Roman"/>
          <w:sz w:val="32"/>
          <w:szCs w:val="32"/>
          <w:lang w:val="en-GB" w:eastAsia="zh-CN"/>
        </w:rPr>
      </w:pPr>
      <w:r>
        <w:rPr>
          <w:rFonts w:hint="eastAsia" w:ascii="黑体" w:hAnsi="黑体" w:eastAsia="黑体" w:cs="黑体"/>
          <w:sz w:val="32"/>
          <w:szCs w:val="32"/>
        </w:rPr>
        <w:t>当事人：</w:t>
      </w:r>
      <w:r>
        <w:rPr>
          <w:rFonts w:hint="eastAsia" w:ascii="Times New Roman" w:hAnsi="Times New Roman" w:eastAsia="仿宋_GB2312" w:cs="Times New Roman"/>
          <w:sz w:val="32"/>
          <w:szCs w:val="32"/>
          <w:lang w:val="en-GB" w:eastAsia="zh-CN"/>
        </w:rPr>
        <w:t>苏宁易购集团股份有限公司</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rPr>
          <w:rFonts w:hint="default" w:eastAsia="仿宋_GB2312"/>
          <w:sz w:val="32"/>
          <w:szCs w:val="32"/>
          <w:lang w:val="en-US" w:eastAsia="zh-CN"/>
        </w:rPr>
      </w:pPr>
      <w:r>
        <w:rPr>
          <w:rFonts w:hint="eastAsia" w:ascii="黑体" w:hAnsi="黑体" w:eastAsia="黑体" w:cs="黑体"/>
          <w:sz w:val="32"/>
          <w:szCs w:val="32"/>
        </w:rPr>
        <w:t>住  所：</w:t>
      </w:r>
      <w:r>
        <w:rPr>
          <w:rFonts w:hint="eastAsia" w:eastAsia="仿宋_GB2312"/>
          <w:sz w:val="32"/>
          <w:szCs w:val="32"/>
          <w:lang w:eastAsia="zh-CN"/>
        </w:rPr>
        <w:t>中国江苏省南京市山西路</w:t>
      </w:r>
      <w:r>
        <w:rPr>
          <w:rFonts w:hint="eastAsia" w:eastAsia="仿宋_GB2312"/>
          <w:sz w:val="32"/>
          <w:szCs w:val="32"/>
          <w:lang w:val="en-US" w:eastAsia="zh-CN"/>
        </w:rPr>
        <w:t>8号金山大厦1-5层</w:t>
      </w:r>
    </w:p>
    <w:p>
      <w:pPr>
        <w:pStyle w:val="2"/>
        <w:keepNext w:val="0"/>
        <w:keepLines w:val="0"/>
        <w:pageBreakBefore w:val="0"/>
        <w:widowControl w:val="0"/>
        <w:kinsoku/>
        <w:wordWrap/>
        <w:topLinePunct w:val="0"/>
        <w:bidi w:val="0"/>
        <w:adjustRightInd/>
        <w:snapToGrid/>
        <w:spacing w:after="0" w:line="240" w:lineRule="auto"/>
        <w:textAlignment w:val="auto"/>
        <w:rPr>
          <w:rFonts w:hint="eastAsia"/>
          <w:sz w:val="32"/>
          <w:szCs w:val="32"/>
        </w:rPr>
      </w:pP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rPr>
          <w:rFonts w:eastAsia="仿宋_GB2312"/>
          <w:sz w:val="32"/>
          <w:szCs w:val="32"/>
        </w:rPr>
      </w:pPr>
      <w:r>
        <w:rPr>
          <w:rFonts w:hint="eastAsia" w:eastAsia="仿宋_GB2312"/>
          <w:sz w:val="32"/>
          <w:szCs w:val="32"/>
        </w:rPr>
        <w:t>根据《中华人民共和国反垄断法》（以下简称《反垄断法》）《经营者集中审查暂行规定》，本机关于2021年</w:t>
      </w:r>
      <w:r>
        <w:rPr>
          <w:rFonts w:hint="eastAsia" w:eastAsia="仿宋_GB2312"/>
          <w:sz w:val="32"/>
          <w:szCs w:val="32"/>
          <w:lang w:val="en-US" w:eastAsia="zh-CN"/>
        </w:rPr>
        <w:t>4</w:t>
      </w:r>
      <w:r>
        <w:rPr>
          <w:rFonts w:hint="eastAsia" w:eastAsia="仿宋_GB2312"/>
          <w:sz w:val="32"/>
          <w:szCs w:val="32"/>
        </w:rPr>
        <w:t>月</w:t>
      </w:r>
      <w:r>
        <w:rPr>
          <w:rFonts w:hint="eastAsia" w:eastAsia="仿宋_GB2312"/>
          <w:sz w:val="32"/>
          <w:szCs w:val="32"/>
          <w:lang w:val="en-US" w:eastAsia="zh-CN"/>
        </w:rPr>
        <w:t>12</w:t>
      </w:r>
      <w:r>
        <w:rPr>
          <w:rFonts w:hint="eastAsia" w:eastAsia="仿宋_GB2312"/>
          <w:sz w:val="32"/>
          <w:szCs w:val="32"/>
        </w:rPr>
        <w:t>日</w:t>
      </w:r>
      <w:r>
        <w:rPr>
          <w:rFonts w:eastAsia="仿宋_GB2312"/>
          <w:sz w:val="32"/>
          <w:szCs w:val="32"/>
        </w:rPr>
        <w:t>对</w:t>
      </w:r>
      <w:r>
        <w:rPr>
          <w:rFonts w:hint="eastAsia" w:ascii="Times New Roman" w:hAnsi="Times New Roman" w:eastAsia="仿宋_GB2312" w:cs="Times New Roman"/>
          <w:sz w:val="32"/>
          <w:szCs w:val="32"/>
          <w:lang w:eastAsia="zh-CN"/>
        </w:rPr>
        <w:t>三菱重工业株式会社（以下简称三菱重工）与苏宁易购集团股份有限公司（以下简称苏宁易购）设立合营企业</w:t>
      </w:r>
      <w:r>
        <w:rPr>
          <w:rFonts w:hint="eastAsia" w:ascii="Times New Roman" w:hAnsi="Times New Roman" w:eastAsia="仿宋_GB2312" w:cs="Times New Roman"/>
          <w:sz w:val="32"/>
          <w:szCs w:val="32"/>
        </w:rPr>
        <w:t>涉嫌</w:t>
      </w:r>
      <w:r>
        <w:rPr>
          <w:rFonts w:hint="eastAsia" w:eastAsia="仿宋_GB2312"/>
          <w:sz w:val="32"/>
          <w:szCs w:val="32"/>
        </w:rPr>
        <w:t>违</w:t>
      </w:r>
      <w:bookmarkStart w:id="2" w:name="_GoBack"/>
      <w:bookmarkEnd w:id="2"/>
      <w:r>
        <w:rPr>
          <w:rFonts w:hint="eastAsia" w:eastAsia="仿宋_GB2312"/>
          <w:sz w:val="32"/>
          <w:szCs w:val="32"/>
        </w:rPr>
        <w:t>法实施经营者集中案</w:t>
      </w:r>
      <w:r>
        <w:rPr>
          <w:rFonts w:eastAsia="仿宋_GB231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rPr>
          <w:rFonts w:hint="eastAsia" w:eastAsia="仿宋_GB2312"/>
          <w:sz w:val="32"/>
          <w:szCs w:val="32"/>
        </w:rPr>
      </w:pPr>
      <w:r>
        <w:rPr>
          <w:rFonts w:hint="eastAsia" w:eastAsia="仿宋_GB2312"/>
          <w:sz w:val="32"/>
          <w:szCs w:val="32"/>
        </w:rPr>
        <w:t>经查，该案构成违法实施的经营者集中，但不具有排除、限制竞争的效果。本机关按照《中华人民共和国行政处罚法》</w:t>
      </w:r>
      <w:r>
        <w:rPr>
          <w:rFonts w:eastAsia="仿宋_GB2312"/>
          <w:sz w:val="32"/>
          <w:szCs w:val="32"/>
        </w:rPr>
        <w:t>（以下简称</w:t>
      </w:r>
      <w:r>
        <w:rPr>
          <w:rFonts w:hint="eastAsia" w:eastAsia="仿宋_GB2312"/>
          <w:sz w:val="32"/>
          <w:szCs w:val="32"/>
        </w:rPr>
        <w:t>《行政处罚法》</w:t>
      </w:r>
      <w:r>
        <w:rPr>
          <w:rFonts w:eastAsia="仿宋_GB2312"/>
          <w:sz w:val="32"/>
          <w:szCs w:val="32"/>
        </w:rPr>
        <w:t>）</w:t>
      </w:r>
      <w:r>
        <w:rPr>
          <w:rFonts w:hint="eastAsia" w:eastAsia="仿宋_GB2312"/>
          <w:sz w:val="32"/>
          <w:szCs w:val="32"/>
        </w:rPr>
        <w:t>的规定，向</w:t>
      </w:r>
      <w:r>
        <w:rPr>
          <w:rFonts w:hint="eastAsia" w:ascii="Times New Roman" w:hAnsi="Times New Roman" w:eastAsia="仿宋_GB2312" w:cs="Times New Roman"/>
          <w:sz w:val="32"/>
          <w:szCs w:val="32"/>
          <w:lang w:eastAsia="zh-CN"/>
        </w:rPr>
        <w:t>三菱重工</w:t>
      </w:r>
      <w:r>
        <w:rPr>
          <w:rFonts w:hint="eastAsia" w:eastAsia="仿宋_GB2312"/>
          <w:bCs/>
          <w:sz w:val="32"/>
          <w:szCs w:val="32"/>
        </w:rPr>
        <w:t>、</w:t>
      </w:r>
      <w:r>
        <w:rPr>
          <w:rFonts w:hint="eastAsia" w:eastAsia="仿宋_GB2312"/>
          <w:bCs/>
          <w:sz w:val="32"/>
          <w:szCs w:val="32"/>
          <w:lang w:eastAsia="zh-CN"/>
        </w:rPr>
        <w:t>苏宁易购</w:t>
      </w:r>
      <w:r>
        <w:rPr>
          <w:rFonts w:hint="eastAsia" w:eastAsia="仿宋_GB2312"/>
          <w:sz w:val="32"/>
          <w:szCs w:val="32"/>
        </w:rPr>
        <w:t>送达了《行政处罚告知书》，告知其拟作出行政处罚决定的事实、理由、证据、处罚内容，以及其依法享有的陈述权、申辩权和要求听证权。三菱重工、苏宁易购在规定期限内没有提出陈述、申辩意见或要求举行听证。本案现已调查、审理终结。</w:t>
      </w:r>
    </w:p>
    <w:p>
      <w:pPr>
        <w:pStyle w:val="2"/>
      </w:pP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rPr>
          <w:rFonts w:eastAsia="黑体"/>
          <w:bCs/>
          <w:sz w:val="32"/>
          <w:szCs w:val="32"/>
        </w:rPr>
      </w:pPr>
      <w:r>
        <w:rPr>
          <w:rFonts w:eastAsia="黑体"/>
          <w:bCs/>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rPr>
          <w:rFonts w:eastAsia="楷体_GB2312"/>
          <w:b/>
          <w:bCs w:val="0"/>
          <w:sz w:val="32"/>
          <w:szCs w:val="32"/>
        </w:rPr>
      </w:pPr>
      <w:r>
        <w:rPr>
          <w:rFonts w:eastAsia="楷体_GB2312"/>
          <w:b/>
          <w:bCs w:val="0"/>
          <w:sz w:val="32"/>
          <w:szCs w:val="32"/>
        </w:rPr>
        <w:t>（一）交易方。</w:t>
      </w:r>
    </w:p>
    <w:p>
      <w:pPr>
        <w:pStyle w:val="11"/>
        <w:pageBreakBefore w:val="0"/>
        <w:widowControl w:val="0"/>
        <w:kinsoku/>
        <w:wordWrap/>
        <w:topLinePunct w:val="0"/>
        <w:bidi w:val="0"/>
        <w:snapToGrid/>
        <w:spacing w:line="240" w:lineRule="auto"/>
        <w:ind w:firstLine="643"/>
        <w:textAlignment w:val="auto"/>
        <w:rPr>
          <w:rFonts w:ascii="Times New Roman" w:hAnsi="Times New Roman"/>
          <w:bCs/>
          <w:sz w:val="32"/>
          <w:szCs w:val="32"/>
        </w:rPr>
      </w:pPr>
      <w:r>
        <w:rPr>
          <w:rFonts w:hint="eastAsia" w:ascii="Times New Roman" w:hAnsi="Times New Roman"/>
          <w:b w:val="0"/>
          <w:bCs/>
          <w:sz w:val="32"/>
          <w:szCs w:val="32"/>
        </w:rPr>
        <w:t>合营方一</w:t>
      </w:r>
      <w:r>
        <w:rPr>
          <w:rFonts w:ascii="Times New Roman" w:hAnsi="Times New Roman"/>
          <w:b w:val="0"/>
          <w:bCs/>
          <w:sz w:val="32"/>
          <w:szCs w:val="32"/>
        </w:rPr>
        <w:t>：</w:t>
      </w:r>
      <w:r>
        <w:rPr>
          <w:rFonts w:hint="eastAsia" w:ascii="Times New Roman" w:hAnsi="Times New Roman"/>
          <w:b w:val="0"/>
          <w:bCs/>
          <w:sz w:val="32"/>
          <w:szCs w:val="32"/>
          <w:lang w:eastAsia="zh-CN"/>
        </w:rPr>
        <w:t>三菱重工</w:t>
      </w:r>
      <w:r>
        <w:rPr>
          <w:rFonts w:ascii="Times New Roman" w:hAnsi="Times New Roman"/>
          <w:b w:val="0"/>
          <w:bCs/>
          <w:sz w:val="32"/>
          <w:szCs w:val="32"/>
        </w:rPr>
        <w:t>。</w:t>
      </w:r>
      <w:r>
        <w:rPr>
          <w:rFonts w:hint="eastAsia" w:ascii="Times New Roman" w:hAnsi="Times New Roman" w:eastAsia="仿宋_GB2312" w:cs="Times New Roman"/>
          <w:kern w:val="2"/>
          <w:sz w:val="32"/>
          <w:szCs w:val="32"/>
          <w:lang w:val="en-US" w:eastAsia="zh-CN" w:bidi="ar-SA"/>
        </w:rPr>
        <w:t>1950</w:t>
      </w:r>
      <w:r>
        <w:rPr>
          <w:rFonts w:hint="eastAsia" w:ascii="仿宋_GB2312" w:hAnsi="仿宋_GB2312" w:eastAsia="仿宋_GB2312" w:cs="仿宋_GB2312"/>
          <w:bCs/>
          <w:sz w:val="32"/>
          <w:szCs w:val="32"/>
        </w:rPr>
        <w:t>年在</w:t>
      </w:r>
      <w:r>
        <w:rPr>
          <w:rFonts w:hint="eastAsia" w:ascii="仿宋_GB2312" w:hAnsi="仿宋_GB2312" w:eastAsia="仿宋_GB2312" w:cs="仿宋_GB2312"/>
          <w:bCs/>
          <w:sz w:val="32"/>
          <w:szCs w:val="32"/>
          <w:lang w:eastAsia="zh-CN"/>
        </w:rPr>
        <w:t>日本</w:t>
      </w:r>
      <w:r>
        <w:rPr>
          <w:rFonts w:hint="eastAsia" w:ascii="仿宋_GB2312" w:hAnsi="仿宋_GB2312" w:eastAsia="仿宋_GB2312" w:cs="仿宋_GB2312"/>
          <w:bCs/>
          <w:sz w:val="32"/>
          <w:szCs w:val="32"/>
        </w:rPr>
        <w:t>注册成立，</w:t>
      </w:r>
      <w:r>
        <w:rPr>
          <w:rFonts w:hint="eastAsia" w:cs="仿宋_GB2312"/>
          <w:bCs/>
          <w:sz w:val="32"/>
          <w:szCs w:val="32"/>
          <w:lang w:eastAsia="zh-CN"/>
        </w:rPr>
        <w:t>大阪</w:t>
      </w:r>
      <w:r>
        <w:rPr>
          <w:rFonts w:hint="eastAsia" w:ascii="仿宋_GB2312" w:hAnsi="仿宋_GB2312" w:eastAsia="仿宋_GB2312" w:cs="仿宋_GB2312"/>
          <w:bCs/>
          <w:sz w:val="32"/>
          <w:szCs w:val="32"/>
          <w:lang w:eastAsia="zh-CN"/>
        </w:rPr>
        <w:t>证</w:t>
      </w:r>
      <w:r>
        <w:rPr>
          <w:rFonts w:hint="eastAsia" w:ascii="Times New Roman" w:hAnsi="Times New Roman"/>
          <w:bCs/>
          <w:sz w:val="32"/>
          <w:szCs w:val="32"/>
          <w:lang w:eastAsia="zh-CN"/>
        </w:rPr>
        <w:t>券交易所、札幌证券交易所、东京证券交易所、名古屋证券交易所和福冈证券交易所上市公司，股权结构分散，无</w:t>
      </w:r>
      <w:r>
        <w:rPr>
          <w:rFonts w:ascii="Times New Roman" w:hAnsi="Times New Roman"/>
          <w:bCs/>
          <w:sz w:val="32"/>
          <w:szCs w:val="32"/>
        </w:rPr>
        <w:t>最终控制人。</w:t>
      </w:r>
      <w:r>
        <w:rPr>
          <w:rFonts w:hint="eastAsia" w:ascii="Times New Roman" w:hAnsi="Times New Roman"/>
          <w:bCs/>
          <w:sz w:val="32"/>
          <w:szCs w:val="32"/>
          <w:lang w:eastAsia="zh-CN"/>
        </w:rPr>
        <w:t>三菱重工</w:t>
      </w:r>
      <w:r>
        <w:rPr>
          <w:rFonts w:hint="eastAsia" w:ascii="Times New Roman" w:hAnsi="Times New Roman"/>
          <w:bCs/>
          <w:sz w:val="32"/>
          <w:szCs w:val="32"/>
        </w:rPr>
        <w:t>主要从事</w:t>
      </w:r>
      <w:r>
        <w:rPr>
          <w:rFonts w:hint="eastAsia" w:ascii="Times New Roman" w:hAnsi="Times New Roman"/>
          <w:bCs/>
          <w:sz w:val="32"/>
          <w:szCs w:val="32"/>
          <w:lang w:eastAsia="zh-CN"/>
        </w:rPr>
        <w:t>能源和环境领域设施、航空和运输、国防及机械设施制造等</w:t>
      </w:r>
      <w:r>
        <w:rPr>
          <w:rFonts w:hint="eastAsia" w:ascii="Times New Roman" w:hAnsi="Times New Roman"/>
          <w:bCs/>
          <w:sz w:val="32"/>
          <w:szCs w:val="32"/>
        </w:rPr>
        <w:t>业务。</w:t>
      </w:r>
      <w:r>
        <w:rPr>
          <w:rFonts w:hint="eastAsia" w:ascii="Times New Roman" w:hAnsi="Times New Roman"/>
          <w:bCs/>
          <w:sz w:val="32"/>
          <w:szCs w:val="32"/>
          <w:lang w:eastAsia="zh-CN"/>
        </w:rPr>
        <w:t>三菱重</w:t>
      </w:r>
      <w:r>
        <w:rPr>
          <w:rFonts w:hint="eastAsia" w:ascii="Times New Roman" w:hAnsi="Times New Roman" w:eastAsia="仿宋_GB2312" w:cs="Times New Roman"/>
          <w:kern w:val="2"/>
          <w:sz w:val="32"/>
          <w:szCs w:val="32"/>
          <w:lang w:val="en-US" w:eastAsia="zh-CN" w:bidi="ar-SA"/>
        </w:rPr>
        <w:t>工2010年全球营业额为2277</w:t>
      </w:r>
      <w:r>
        <w:rPr>
          <w:rFonts w:hint="eastAsia" w:ascii="仿宋_GB2312" w:hAnsi="仿宋_GB2312" w:eastAsia="仿宋_GB2312" w:cs="仿宋_GB2312"/>
          <w:bCs/>
          <w:sz w:val="32"/>
          <w:szCs w:val="32"/>
        </w:rPr>
        <w:t>亿元人民币（币种下同），</w:t>
      </w:r>
      <w:r>
        <w:rPr>
          <w:rFonts w:hint="eastAsia" w:ascii="Times New Roman" w:hAnsi="Times New Roman"/>
          <w:bCs/>
          <w:sz w:val="32"/>
          <w:szCs w:val="32"/>
        </w:rPr>
        <w:t>中国境内营业额为</w:t>
      </w:r>
      <w:r>
        <w:rPr>
          <w:rFonts w:hint="eastAsia" w:ascii="Times New Roman" w:hAnsi="Times New Roman"/>
          <w:bCs/>
          <w:sz w:val="32"/>
          <w:szCs w:val="32"/>
          <w:lang w:eastAsia="zh-CN"/>
        </w:rPr>
        <w:t>（略）</w:t>
      </w:r>
      <w:r>
        <w:rPr>
          <w:rFonts w:hint="eastAsia" w:ascii="仿宋_GB2312" w:hAnsi="仿宋_GB2312" w:eastAsia="仿宋_GB2312" w:cs="仿宋_GB2312"/>
          <w:bCs/>
          <w:sz w:val="32"/>
          <w:szCs w:val="32"/>
        </w:rPr>
        <w:t>。</w:t>
      </w:r>
    </w:p>
    <w:p>
      <w:pPr>
        <w:pStyle w:val="11"/>
        <w:pageBreakBefore w:val="0"/>
        <w:widowControl w:val="0"/>
        <w:kinsoku/>
        <w:wordWrap/>
        <w:topLinePunct w:val="0"/>
        <w:bidi w:val="0"/>
        <w:snapToGrid/>
        <w:spacing w:line="240" w:lineRule="auto"/>
        <w:ind w:firstLine="643"/>
        <w:textAlignment w:val="auto"/>
        <w:rPr>
          <w:rFonts w:hint="eastAsia" w:ascii="Times New Roman" w:hAnsi="Times New Roman"/>
          <w:bCs/>
          <w:sz w:val="32"/>
          <w:szCs w:val="32"/>
        </w:rPr>
      </w:pPr>
      <w:r>
        <w:rPr>
          <w:rFonts w:hint="eastAsia" w:ascii="Times New Roman" w:hAnsi="Times New Roman"/>
          <w:b w:val="0"/>
          <w:bCs/>
          <w:sz w:val="32"/>
          <w:szCs w:val="32"/>
        </w:rPr>
        <w:t>合营方</w:t>
      </w:r>
      <w:r>
        <w:rPr>
          <w:rFonts w:hint="eastAsia" w:ascii="Times New Roman" w:hAnsi="Times New Roman"/>
          <w:b w:val="0"/>
          <w:bCs/>
          <w:sz w:val="32"/>
          <w:szCs w:val="32"/>
          <w:lang w:eastAsia="zh-CN"/>
        </w:rPr>
        <w:t>二</w:t>
      </w:r>
      <w:r>
        <w:rPr>
          <w:rFonts w:ascii="Times New Roman" w:hAnsi="Times New Roman"/>
          <w:b w:val="0"/>
          <w:bCs/>
          <w:sz w:val="32"/>
          <w:szCs w:val="32"/>
        </w:rPr>
        <w:t>：</w:t>
      </w:r>
      <w:r>
        <w:rPr>
          <w:rFonts w:hint="eastAsia" w:ascii="Times New Roman" w:hAnsi="Times New Roman"/>
          <w:b w:val="0"/>
          <w:bCs/>
          <w:sz w:val="32"/>
          <w:szCs w:val="32"/>
          <w:lang w:eastAsia="zh-CN"/>
        </w:rPr>
        <w:t>苏宁电器股份有限公司</w:t>
      </w:r>
      <w:r>
        <w:rPr>
          <w:rFonts w:hint="eastAsia" w:ascii="Times New Roman" w:hAnsi="Times New Roman"/>
          <w:sz w:val="32"/>
          <w:szCs w:val="32"/>
        </w:rPr>
        <w:t>（</w:t>
      </w:r>
      <w:r>
        <w:rPr>
          <w:rFonts w:hint="eastAsia" w:ascii="Times New Roman" w:hAnsi="Times New Roman"/>
          <w:sz w:val="32"/>
          <w:szCs w:val="32"/>
          <w:lang w:eastAsia="zh-CN"/>
        </w:rPr>
        <w:t>现更名为</w:t>
      </w:r>
      <w:r>
        <w:rPr>
          <w:rFonts w:hint="eastAsia" w:ascii="Times New Roman" w:hAnsi="Times New Roman"/>
          <w:b w:val="0"/>
          <w:bCs/>
          <w:sz w:val="32"/>
          <w:szCs w:val="32"/>
          <w:lang w:eastAsia="zh-CN"/>
        </w:rPr>
        <w:t>苏宁易购集团股份有限公司</w:t>
      </w:r>
      <w:r>
        <w:rPr>
          <w:rFonts w:hint="eastAsia" w:ascii="Times New Roman" w:hAnsi="Times New Roman"/>
          <w:sz w:val="32"/>
          <w:szCs w:val="32"/>
        </w:rPr>
        <w:t>）</w:t>
      </w:r>
      <w:r>
        <w:rPr>
          <w:rFonts w:ascii="Times New Roman" w:hAnsi="Times New Roman"/>
          <w:bCs/>
          <w:sz w:val="32"/>
          <w:szCs w:val="32"/>
        </w:rPr>
        <w:t>。</w:t>
      </w:r>
      <w:r>
        <w:rPr>
          <w:rFonts w:hint="eastAsia" w:ascii="Times New Roman" w:hAnsi="Times New Roman" w:eastAsia="仿宋_GB2312" w:cs="Times New Roman"/>
          <w:kern w:val="2"/>
          <w:sz w:val="32"/>
          <w:szCs w:val="32"/>
          <w:lang w:val="en-US" w:eastAsia="zh-CN" w:bidi="ar-SA"/>
        </w:rPr>
        <w:t>1996年</w:t>
      </w:r>
      <w:r>
        <w:rPr>
          <w:rFonts w:hint="eastAsia" w:ascii="仿宋_GB2312" w:hAnsi="仿宋_GB2312" w:eastAsia="仿宋_GB2312" w:cs="仿宋_GB2312"/>
          <w:bCs/>
          <w:sz w:val="32"/>
          <w:szCs w:val="32"/>
        </w:rPr>
        <w:t>在</w:t>
      </w:r>
      <w:r>
        <w:rPr>
          <w:rFonts w:hint="eastAsia"/>
          <w:sz w:val="32"/>
          <w:szCs w:val="32"/>
          <w:lang w:eastAsia="zh-CN"/>
        </w:rPr>
        <w:t>中国</w:t>
      </w:r>
      <w:r>
        <w:rPr>
          <w:rFonts w:ascii="Times New Roman" w:hAnsi="Times New Roman"/>
          <w:bCs/>
          <w:sz w:val="32"/>
          <w:szCs w:val="32"/>
        </w:rPr>
        <w:t>注册成立，</w:t>
      </w:r>
      <w:r>
        <w:rPr>
          <w:rFonts w:hint="eastAsia" w:ascii="Times New Roman" w:hAnsi="Times New Roman"/>
          <w:bCs/>
          <w:sz w:val="32"/>
          <w:szCs w:val="32"/>
          <w:lang w:eastAsia="zh-CN"/>
        </w:rPr>
        <w:t>深圳</w:t>
      </w:r>
      <w:r>
        <w:rPr>
          <w:rFonts w:hint="eastAsia" w:ascii="Times New Roman" w:hAnsi="Times New Roman"/>
          <w:bCs/>
          <w:sz w:val="32"/>
          <w:szCs w:val="32"/>
        </w:rPr>
        <w:t>证券交易所上市</w:t>
      </w:r>
      <w:r>
        <w:rPr>
          <w:rFonts w:hint="eastAsia" w:ascii="Times New Roman" w:hAnsi="Times New Roman"/>
          <w:bCs/>
          <w:sz w:val="32"/>
          <w:szCs w:val="32"/>
          <w:lang w:eastAsia="zh-CN"/>
        </w:rPr>
        <w:t>公司</w:t>
      </w:r>
      <w:r>
        <w:rPr>
          <w:rFonts w:hint="eastAsia" w:ascii="Times New Roman" w:hAnsi="Times New Roman"/>
          <w:bCs/>
          <w:sz w:val="32"/>
          <w:szCs w:val="32"/>
        </w:rPr>
        <w:t>，最终控制人</w:t>
      </w:r>
      <w:r>
        <w:rPr>
          <w:rFonts w:hint="eastAsia" w:ascii="Times New Roman" w:hAnsi="Times New Roman"/>
          <w:bCs/>
          <w:sz w:val="32"/>
          <w:szCs w:val="32"/>
          <w:lang w:eastAsia="zh-CN"/>
        </w:rPr>
        <w:t>为中国籍自然人张近东</w:t>
      </w:r>
      <w:r>
        <w:rPr>
          <w:rFonts w:hint="eastAsia" w:ascii="Times New Roman" w:hAnsi="Times New Roman"/>
          <w:bCs/>
          <w:sz w:val="32"/>
          <w:szCs w:val="32"/>
        </w:rPr>
        <w:t>。</w:t>
      </w:r>
      <w:r>
        <w:rPr>
          <w:rFonts w:hint="eastAsia" w:ascii="Times New Roman" w:hAnsi="Times New Roman"/>
          <w:bCs/>
          <w:sz w:val="32"/>
          <w:szCs w:val="32"/>
          <w:lang w:eastAsia="zh-CN"/>
        </w:rPr>
        <w:t>苏宁易购</w:t>
      </w:r>
      <w:r>
        <w:rPr>
          <w:rFonts w:hint="eastAsia" w:ascii="Times New Roman" w:hAnsi="Times New Roman"/>
          <w:bCs/>
          <w:sz w:val="32"/>
          <w:szCs w:val="32"/>
        </w:rPr>
        <w:t>主要从事</w:t>
      </w:r>
      <w:r>
        <w:rPr>
          <w:rFonts w:hint="eastAsia" w:ascii="Times New Roman" w:hAnsi="Times New Roman"/>
          <w:bCs/>
          <w:sz w:val="32"/>
          <w:szCs w:val="32"/>
          <w:lang w:eastAsia="zh-CN"/>
        </w:rPr>
        <w:t>商品零售业务</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苏宁易购</w:t>
      </w:r>
      <w:r>
        <w:rPr>
          <w:rFonts w:hint="eastAsia" w:ascii="Times New Roman" w:hAnsi="Times New Roman" w:eastAsia="仿宋_GB2312" w:cs="Times New Roman"/>
          <w:kern w:val="2"/>
          <w:sz w:val="32"/>
          <w:szCs w:val="32"/>
          <w:lang w:val="en-US" w:eastAsia="zh-CN" w:bidi="ar-SA"/>
        </w:rPr>
        <w:t>2010年全球营业额为755.05亿</w:t>
      </w:r>
      <w:r>
        <w:rPr>
          <w:rFonts w:hint="eastAsia" w:ascii="仿宋_GB2312" w:hAnsi="仿宋_GB2312" w:eastAsia="仿宋_GB2312" w:cs="仿宋_GB2312"/>
          <w:bCs/>
          <w:sz w:val="32"/>
          <w:szCs w:val="32"/>
        </w:rPr>
        <w:t>元，</w:t>
      </w:r>
      <w:r>
        <w:rPr>
          <w:rFonts w:hint="eastAsia" w:ascii="Times New Roman" w:hAnsi="Times New Roman"/>
          <w:bCs/>
          <w:sz w:val="32"/>
          <w:szCs w:val="32"/>
        </w:rPr>
        <w:t>中国境内营业额为</w:t>
      </w:r>
      <w:r>
        <w:rPr>
          <w:rFonts w:hint="eastAsia" w:ascii="Times New Roman" w:hAnsi="Times New Roman"/>
          <w:bCs/>
          <w:sz w:val="32"/>
          <w:szCs w:val="32"/>
          <w:lang w:eastAsia="zh-CN"/>
        </w:rPr>
        <w:t>（略）</w:t>
      </w:r>
      <w:r>
        <w:rPr>
          <w:rFonts w:hint="eastAsia" w:ascii="仿宋_GB2312" w:hAnsi="仿宋_GB2312" w:eastAsia="仿宋_GB2312" w:cs="仿宋_GB2312"/>
          <w:bCs/>
          <w:sz w:val="32"/>
          <w:szCs w:val="32"/>
        </w:rPr>
        <w:t>。</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outlineLvl w:val="9"/>
        <w:rPr>
          <w:rFonts w:eastAsia="楷体_GB2312"/>
          <w:b/>
          <w:bCs w:val="0"/>
          <w:sz w:val="32"/>
          <w:szCs w:val="32"/>
        </w:rPr>
      </w:pPr>
      <w:r>
        <w:rPr>
          <w:rFonts w:eastAsia="楷体_GB2312"/>
          <w:b/>
          <w:bCs w:val="0"/>
          <w:sz w:val="32"/>
          <w:szCs w:val="32"/>
        </w:rPr>
        <w:t>（二）交易概况。</w:t>
      </w:r>
    </w:p>
    <w:p>
      <w:pPr>
        <w:pStyle w:val="11"/>
        <w:pageBreakBefore w:val="0"/>
        <w:widowControl w:val="0"/>
        <w:kinsoku/>
        <w:wordWrap/>
        <w:topLinePunct w:val="0"/>
        <w:bidi w:val="0"/>
        <w:snapToGrid/>
        <w:spacing w:line="240" w:lineRule="auto"/>
        <w:ind w:firstLine="643"/>
        <w:textAlignment w:val="auto"/>
        <w:rPr>
          <w:rFonts w:hint="default" w:ascii="Times New Roman" w:hAnsi="Times New Roman" w:cs="Times New Roman"/>
          <w:bCs/>
          <w:sz w:val="32"/>
          <w:szCs w:val="32"/>
        </w:rPr>
      </w:pPr>
      <w:r>
        <w:rPr>
          <w:rFonts w:hint="eastAsia" w:ascii="Times New Roman" w:hAnsi="Times New Roman" w:cs="Times New Roman"/>
          <w:sz w:val="32"/>
          <w:szCs w:val="32"/>
          <w:lang w:eastAsia="zh-CN"/>
        </w:rPr>
        <w:t>本交易系设立合营企业。</w:t>
      </w:r>
      <w:r>
        <w:rPr>
          <w:rFonts w:hint="eastAsia" w:ascii="Times New Roman" w:hAnsi="Times New Roman" w:eastAsia="仿宋_GB2312" w:cs="Times New Roman"/>
          <w:kern w:val="2"/>
          <w:sz w:val="32"/>
          <w:szCs w:val="32"/>
          <w:lang w:val="en-US" w:eastAsia="zh-CN" w:bidi="ar-SA"/>
        </w:rPr>
        <w:t>2011年8月8日</w:t>
      </w:r>
      <w:r>
        <w:rPr>
          <w:rFonts w:hint="eastAsia" w:ascii="仿宋_GB2312" w:hAnsi="仿宋_GB2312" w:eastAsia="仿宋_GB2312" w:cs="仿宋_GB2312"/>
          <w:bCs/>
          <w:sz w:val="32"/>
          <w:szCs w:val="32"/>
        </w:rPr>
        <w:t>，</w:t>
      </w:r>
      <w:r>
        <w:rPr>
          <w:rFonts w:hint="eastAsia" w:cs="仿宋_GB2312"/>
          <w:bCs/>
          <w:sz w:val="32"/>
          <w:szCs w:val="32"/>
          <w:lang w:eastAsia="zh-CN"/>
        </w:rPr>
        <w:t>三菱重工与苏宁易购</w:t>
      </w:r>
      <w:r>
        <w:rPr>
          <w:rFonts w:hint="eastAsia" w:ascii="仿宋_GB2312" w:hAnsi="仿宋_GB2312" w:eastAsia="仿宋_GB2312" w:cs="仿宋_GB2312"/>
          <w:bCs/>
          <w:sz w:val="32"/>
          <w:szCs w:val="32"/>
        </w:rPr>
        <w:t>签署协议，设立合营企业</w:t>
      </w:r>
      <w:r>
        <w:rPr>
          <w:rFonts w:hint="eastAsia" w:cs="仿宋_GB2312"/>
          <w:bCs/>
          <w:sz w:val="32"/>
          <w:szCs w:val="32"/>
          <w:lang w:eastAsia="zh-CN"/>
        </w:rPr>
        <w:t>菱重家用空调系统（上海）有限公司</w:t>
      </w:r>
      <w:r>
        <w:rPr>
          <w:rFonts w:hint="eastAsia" w:ascii="仿宋_GB2312" w:hAnsi="仿宋_GB2312" w:eastAsia="仿宋_GB2312" w:cs="仿宋_GB2312"/>
          <w:bCs/>
          <w:sz w:val="32"/>
          <w:szCs w:val="32"/>
        </w:rPr>
        <w:t>（以下简称合营企业）</w:t>
      </w:r>
      <w:r>
        <w:rPr>
          <w:rFonts w:hint="eastAsia" w:cs="仿宋_GB2312"/>
          <w:bCs/>
          <w:sz w:val="32"/>
          <w:szCs w:val="32"/>
          <w:lang w:eastAsia="zh-CN"/>
        </w:rPr>
        <w:t>，三菱重工</w:t>
      </w:r>
      <w:r>
        <w:rPr>
          <w:rFonts w:hint="eastAsia" w:ascii="仿宋_GB2312" w:hAnsi="仿宋_GB2312" w:eastAsia="仿宋_GB2312" w:cs="仿宋_GB2312"/>
          <w:bCs/>
          <w:sz w:val="32"/>
          <w:szCs w:val="32"/>
        </w:rPr>
        <w:t>、</w:t>
      </w:r>
      <w:r>
        <w:rPr>
          <w:rFonts w:hint="eastAsia" w:cs="仿宋_GB2312"/>
          <w:bCs/>
          <w:sz w:val="32"/>
          <w:szCs w:val="32"/>
          <w:lang w:eastAsia="zh-CN"/>
        </w:rPr>
        <w:t>苏宁易购</w:t>
      </w:r>
      <w:r>
        <w:rPr>
          <w:rFonts w:hint="eastAsia" w:ascii="仿宋_GB2312" w:hAnsi="仿宋_GB2312" w:eastAsia="仿宋_GB2312" w:cs="仿宋_GB2312"/>
          <w:bCs/>
          <w:sz w:val="32"/>
          <w:szCs w:val="32"/>
        </w:rPr>
        <w:t>分别持股</w:t>
      </w:r>
      <w:r>
        <w:rPr>
          <w:rFonts w:hint="eastAsia" w:ascii="Times New Roman" w:hAnsi="Times New Roman" w:eastAsia="仿宋_GB2312" w:cs="Times New Roman"/>
          <w:kern w:val="2"/>
          <w:sz w:val="32"/>
          <w:szCs w:val="32"/>
          <w:lang w:val="en-US" w:eastAsia="zh-CN" w:bidi="ar-SA"/>
        </w:rPr>
        <w:t>85%、15%。2011年9月28日</w:t>
      </w:r>
      <w:r>
        <w:rPr>
          <w:rFonts w:hint="eastAsia" w:ascii="仿宋_GB2312" w:hAnsi="仿宋_GB2312" w:eastAsia="仿宋_GB2312" w:cs="仿宋_GB2312"/>
          <w:bCs/>
          <w:sz w:val="32"/>
          <w:szCs w:val="32"/>
        </w:rPr>
        <w:t>，合营企业完成注册，</w:t>
      </w:r>
      <w:r>
        <w:rPr>
          <w:rFonts w:hint="eastAsia" w:cs="仿宋_GB2312"/>
          <w:bCs/>
          <w:sz w:val="32"/>
          <w:szCs w:val="32"/>
          <w:lang w:val="en-US" w:eastAsia="zh-CN"/>
        </w:rPr>
        <w:t>并已开始生产经营活动</w:t>
      </w:r>
      <w:r>
        <w:rPr>
          <w:rFonts w:hint="eastAsia" w:ascii="仿宋_GB2312" w:hAnsi="仿宋_GB2312" w:eastAsia="仿宋_GB2312" w:cs="仿宋_GB2312"/>
          <w:bCs/>
          <w:sz w:val="32"/>
          <w:szCs w:val="32"/>
        </w:rPr>
        <w:t>。</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rPr>
          <w:rFonts w:ascii="黑体" w:hAnsi="黑体" w:eastAsia="黑体"/>
          <w:sz w:val="32"/>
          <w:szCs w:val="32"/>
        </w:rPr>
      </w:pPr>
      <w:r>
        <w:rPr>
          <w:rFonts w:hint="eastAsia" w:ascii="黑体" w:hAnsi="黑体" w:eastAsia="黑体"/>
          <w:sz w:val="32"/>
          <w:szCs w:val="32"/>
        </w:rPr>
        <w:t>二、违法事实及理由</w:t>
      </w:r>
    </w:p>
    <w:p>
      <w:pPr>
        <w:keepNext w:val="0"/>
        <w:keepLines w:val="0"/>
        <w:pageBreakBefore w:val="0"/>
        <w:widowControl w:val="0"/>
        <w:kinsoku/>
        <w:wordWrap/>
        <w:topLinePunct w:val="0"/>
        <w:bidi w:val="0"/>
        <w:adjustRightInd/>
        <w:snapToGrid/>
        <w:spacing w:line="240" w:lineRule="auto"/>
        <w:ind w:firstLine="628" w:firstLineChars="200"/>
        <w:textAlignment w:val="auto"/>
        <w:outlineLvl w:val="0"/>
        <w:rPr>
          <w:rFonts w:eastAsia="楷体_GB2312"/>
          <w:b/>
          <w:bCs/>
          <w:sz w:val="32"/>
          <w:szCs w:val="32"/>
        </w:rPr>
      </w:pPr>
      <w:r>
        <w:rPr>
          <w:rFonts w:eastAsia="楷体_GB2312"/>
          <w:b/>
          <w:bCs/>
          <w:sz w:val="32"/>
          <w:szCs w:val="32"/>
        </w:rPr>
        <w:t>（一）本案构成</w:t>
      </w:r>
      <w:r>
        <w:rPr>
          <w:rFonts w:hint="eastAsia" w:eastAsia="楷体_GB2312"/>
          <w:b/>
          <w:bCs/>
          <w:sz w:val="32"/>
          <w:szCs w:val="32"/>
        </w:rPr>
        <w:t>违法</w:t>
      </w:r>
      <w:r>
        <w:rPr>
          <w:rFonts w:eastAsia="楷体_GB2312"/>
          <w:b/>
          <w:bCs/>
          <w:sz w:val="32"/>
          <w:szCs w:val="32"/>
        </w:rPr>
        <w:t>实施的经营者集中。</w:t>
      </w:r>
    </w:p>
    <w:p>
      <w:pPr>
        <w:keepNext w:val="0"/>
        <w:keepLines w:val="0"/>
        <w:pageBreakBefore w:val="0"/>
        <w:widowControl w:val="0"/>
        <w:kinsoku/>
        <w:wordWrap/>
        <w:topLinePunct w:val="0"/>
        <w:bidi w:val="0"/>
        <w:adjustRightInd/>
        <w:snapToGrid/>
        <w:spacing w:line="240" w:lineRule="auto"/>
        <w:ind w:firstLine="628" w:firstLineChars="200"/>
        <w:textAlignment w:val="auto"/>
        <w:rPr>
          <w:rFonts w:eastAsia="仿宋_GB2312"/>
          <w:sz w:val="32"/>
          <w:szCs w:val="32"/>
        </w:rPr>
      </w:pPr>
      <w:r>
        <w:rPr>
          <w:rFonts w:eastAsia="仿宋_GB2312"/>
          <w:sz w:val="32"/>
          <w:szCs w:val="32"/>
        </w:rPr>
        <w:t>《反垄断法》第二十条规定“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0" w:name="OLE_LINK48"/>
      <w:r>
        <w:rPr>
          <w:rFonts w:hint="eastAsia" w:ascii="仿宋_GB2312" w:hAnsi="仿宋_GB2312" w:eastAsia="仿宋_GB2312" w:cs="仿宋_GB2312"/>
          <w:sz w:val="32"/>
          <w:szCs w:val="32"/>
          <w:lang w:eastAsia="zh-CN"/>
        </w:rPr>
        <w:t>三菱重工</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苏宁易购</w:t>
      </w:r>
      <w:r>
        <w:rPr>
          <w:rFonts w:hint="eastAsia" w:eastAsia="仿宋_GB2312"/>
          <w:sz w:val="32"/>
          <w:szCs w:val="32"/>
        </w:rPr>
        <w:t>设立合营企业并实施共同控制，</w:t>
      </w:r>
      <w:r>
        <w:rPr>
          <w:rFonts w:eastAsia="仿宋_GB2312"/>
          <w:sz w:val="32"/>
          <w:szCs w:val="32"/>
        </w:rPr>
        <w:t>属于《反垄断法》第二十条规定的经营者集中。</w:t>
      </w:r>
      <w:bookmarkEnd w:id="0"/>
    </w:p>
    <w:p>
      <w:pPr>
        <w:keepNext w:val="0"/>
        <w:keepLines w:val="0"/>
        <w:pageBreakBefore w:val="0"/>
        <w:widowControl w:val="0"/>
        <w:kinsoku/>
        <w:wordWrap/>
        <w:topLinePunct w:val="0"/>
        <w:bidi w:val="0"/>
        <w:snapToGrid/>
        <w:spacing w:line="240" w:lineRule="auto"/>
        <w:ind w:firstLine="628"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kern w:val="2"/>
          <w:sz w:val="32"/>
          <w:szCs w:val="32"/>
          <w:lang w:val="en-US" w:eastAsia="zh-CN" w:bidi="ar-SA"/>
        </w:rPr>
        <w:t>三菱重工2010年全球营业额为2277亿元</w:t>
      </w:r>
      <w:r>
        <w:rPr>
          <w:rFonts w:hint="eastAsia" w:ascii="仿宋_GB2312" w:hAnsi="仿宋_GB2312" w:eastAsia="仿宋_GB2312" w:cs="仿宋_GB2312"/>
          <w:bCs/>
          <w:sz w:val="32"/>
          <w:szCs w:val="32"/>
        </w:rPr>
        <w:t>，中国境内营业额为</w:t>
      </w:r>
      <w:r>
        <w:rPr>
          <w:rFonts w:hint="eastAsia" w:ascii="仿宋_GB2312" w:hAnsi="仿宋_GB2312" w:eastAsia="仿宋_GB2312" w:cs="仿宋_GB2312"/>
          <w:bCs/>
          <w:sz w:val="32"/>
          <w:szCs w:val="32"/>
          <w:lang w:eastAsia="zh-CN"/>
        </w:rPr>
        <w:t>（略）</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苏宁易购</w:t>
      </w:r>
      <w:r>
        <w:rPr>
          <w:rFonts w:hint="eastAsia" w:ascii="Times New Roman" w:hAnsi="Times New Roman" w:eastAsia="仿宋_GB2312" w:cs="Times New Roman"/>
          <w:kern w:val="2"/>
          <w:sz w:val="32"/>
          <w:szCs w:val="32"/>
          <w:lang w:val="en-US" w:eastAsia="zh-CN" w:bidi="ar-SA"/>
        </w:rPr>
        <w:t>2010年全球营业额为755.05</w:t>
      </w:r>
      <w:r>
        <w:rPr>
          <w:rFonts w:hint="eastAsia" w:ascii="仿宋_GB2312" w:hAnsi="仿宋_GB2312" w:eastAsia="仿宋_GB2312" w:cs="仿宋_GB2312"/>
          <w:bCs/>
          <w:sz w:val="32"/>
          <w:szCs w:val="32"/>
        </w:rPr>
        <w:t>亿元，中国境内营业额为</w:t>
      </w:r>
      <w:r>
        <w:rPr>
          <w:rFonts w:hint="eastAsia" w:ascii="仿宋_GB2312" w:hAnsi="仿宋_GB2312" w:eastAsia="仿宋_GB2312" w:cs="仿宋_GB2312"/>
          <w:bCs/>
          <w:sz w:val="32"/>
          <w:szCs w:val="32"/>
          <w:lang w:eastAsia="zh-CN"/>
        </w:rPr>
        <w:t>（略）</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达到《国务院关于</w:t>
      </w:r>
      <w:r>
        <w:rPr>
          <w:rFonts w:hint="default" w:ascii="Times New Roman" w:hAnsi="Times New Roman" w:eastAsia="仿宋_GB2312" w:cs="Times New Roman"/>
          <w:sz w:val="32"/>
          <w:szCs w:val="32"/>
        </w:rPr>
        <w:t>经营者集中申报标准的规定》第三条规定的申报标准，属于应当申报的情形。</w:t>
      </w:r>
    </w:p>
    <w:p>
      <w:pPr>
        <w:keepNext w:val="0"/>
        <w:keepLines w:val="0"/>
        <w:pageBreakBefore w:val="0"/>
        <w:widowControl w:val="0"/>
        <w:kinsoku/>
        <w:wordWrap/>
        <w:topLinePunct w:val="0"/>
        <w:bidi w:val="0"/>
        <w:snapToGrid/>
        <w:spacing w:line="240" w:lineRule="auto"/>
        <w:ind w:firstLine="616" w:firstLineChars="196"/>
        <w:textAlignment w:val="auto"/>
        <w:rPr>
          <w:rFonts w:hint="default" w:ascii="Times New Roman" w:hAnsi="Times New Roman" w:eastAsia="仿宋_GB2312" w:cs="Times New Roman"/>
          <w:sz w:val="32"/>
          <w:szCs w:val="32"/>
        </w:rPr>
      </w:pPr>
      <w:r>
        <w:rPr>
          <w:rFonts w:eastAsia="仿宋_GB2312"/>
          <w:sz w:val="32"/>
          <w:szCs w:val="32"/>
        </w:rPr>
        <w:t>《反垄断法》第二十一条规定“经营者集中达到国务院规定的申报标准的，经营者应当事先向国务院反垄断执法机构申报，未申报的不得实施集中”。</w:t>
      </w:r>
      <w:r>
        <w:rPr>
          <w:rFonts w:hint="eastAsia" w:ascii="Times New Roman" w:hAnsi="Times New Roman" w:eastAsia="仿宋_GB2312" w:cs="Times New Roman"/>
          <w:kern w:val="2"/>
          <w:sz w:val="32"/>
          <w:szCs w:val="32"/>
          <w:lang w:val="en-US" w:eastAsia="zh-CN" w:bidi="ar-SA"/>
        </w:rPr>
        <w:t>2011年9月28日</w:t>
      </w:r>
      <w:r>
        <w:rPr>
          <w:rFonts w:hint="eastAsia" w:ascii="仿宋_GB2312" w:hAnsi="仿宋_GB2312" w:eastAsia="仿宋_GB2312" w:cs="仿宋_GB2312"/>
          <w:sz w:val="32"/>
          <w:szCs w:val="32"/>
        </w:rPr>
        <w:t>，合营企业完成注册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在此之前未向</w:t>
      </w:r>
      <w:r>
        <w:rPr>
          <w:rFonts w:hint="eastAsia" w:ascii="仿宋_GB2312" w:hAnsi="仿宋_GB2312" w:eastAsia="仿宋_GB2312" w:cs="仿宋_GB2312"/>
          <w:sz w:val="32"/>
          <w:szCs w:val="32"/>
          <w:lang w:eastAsia="zh-CN"/>
        </w:rPr>
        <w:t>本机关</w:t>
      </w:r>
      <w:r>
        <w:rPr>
          <w:rFonts w:hint="eastAsia" w:ascii="仿宋_GB2312" w:hAnsi="仿宋_GB2312" w:eastAsia="仿宋_GB2312" w:cs="仿宋_GB2312"/>
          <w:sz w:val="32"/>
          <w:szCs w:val="32"/>
        </w:rPr>
        <w:t>申报，违反《反垄断法》第二十一条，构成违法实施的经营者集中。</w:t>
      </w:r>
    </w:p>
    <w:p>
      <w:pPr>
        <w:keepNext w:val="0"/>
        <w:keepLines w:val="0"/>
        <w:pageBreakBefore w:val="0"/>
        <w:widowControl w:val="0"/>
        <w:kinsoku/>
        <w:wordWrap/>
        <w:topLinePunct w:val="0"/>
        <w:bidi w:val="0"/>
        <w:adjustRightInd/>
        <w:snapToGrid/>
        <w:spacing w:line="240" w:lineRule="auto"/>
        <w:ind w:firstLine="628" w:firstLineChars="200"/>
        <w:textAlignment w:val="auto"/>
        <w:outlineLvl w:val="0"/>
        <w:rPr>
          <w:rFonts w:eastAsia="楷体_GB2312"/>
          <w:b/>
          <w:bCs/>
          <w:sz w:val="32"/>
          <w:szCs w:val="32"/>
        </w:rPr>
      </w:pPr>
      <w:r>
        <w:rPr>
          <w:rFonts w:eastAsia="楷体_GB2312"/>
          <w:b/>
          <w:bCs/>
          <w:sz w:val="32"/>
          <w:szCs w:val="32"/>
        </w:rPr>
        <w:t>（二）本案不具有排除、限制竞争的效果。</w:t>
      </w:r>
    </w:p>
    <w:p>
      <w:pPr>
        <w:keepNext w:val="0"/>
        <w:keepLines w:val="0"/>
        <w:pageBreakBefore w:val="0"/>
        <w:widowControl w:val="0"/>
        <w:kinsoku/>
        <w:wordWrap/>
        <w:topLinePunct w:val="0"/>
        <w:bidi w:val="0"/>
        <w:snapToGrid/>
        <w:spacing w:line="240" w:lineRule="auto"/>
        <w:ind w:firstLine="628"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本机关就</w:t>
      </w:r>
      <w:r>
        <w:rPr>
          <w:rFonts w:hint="eastAsia" w:ascii="Times New Roman" w:hAnsi="Times New Roman" w:eastAsia="仿宋_GB2312" w:cs="Times New Roman"/>
          <w:sz w:val="32"/>
          <w:szCs w:val="32"/>
          <w:lang w:eastAsia="zh-CN"/>
        </w:rPr>
        <w:t>三菱重工</w:t>
      </w:r>
      <w:r>
        <w:rPr>
          <w:rFonts w:hint="default" w:ascii="Times New Roman" w:hAnsi="Times New Roman" w:eastAsia="仿宋_GB2312" w:cs="Times New Roman"/>
          <w:sz w:val="32"/>
          <w:szCs w:val="32"/>
        </w:rPr>
        <w:t>与</w:t>
      </w:r>
      <w:r>
        <w:rPr>
          <w:rFonts w:hint="eastAsia" w:ascii="Times New Roman" w:hAnsi="Times New Roman" w:eastAsia="仿宋_GB2312" w:cs="Times New Roman"/>
          <w:sz w:val="32"/>
          <w:szCs w:val="32"/>
          <w:lang w:eastAsia="zh-CN"/>
        </w:rPr>
        <w:t>苏宁易购</w:t>
      </w:r>
      <w:r>
        <w:rPr>
          <w:rFonts w:hint="default" w:ascii="Times New Roman" w:hAnsi="Times New Roman" w:eastAsia="仿宋_GB2312" w:cs="Times New Roman"/>
          <w:sz w:val="32"/>
          <w:szCs w:val="32"/>
        </w:rPr>
        <w:t>设立合营企业对市场竞争的影响进行了评估，评估认为，该项经营者集中不会产生排除、限制竞争的效果。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rPr>
          <w:rFonts w:ascii="黑体" w:hAnsi="黑体" w:eastAsia="黑体"/>
          <w:sz w:val="32"/>
          <w:szCs w:val="32"/>
        </w:rPr>
      </w:pPr>
      <w:r>
        <w:rPr>
          <w:rFonts w:hint="eastAsia" w:ascii="黑体" w:hAnsi="黑体" w:eastAsia="黑体"/>
          <w:sz w:val="32"/>
          <w:szCs w:val="32"/>
        </w:rPr>
        <w:t>三、行政处罚依据和决定</w:t>
      </w:r>
    </w:p>
    <w:p>
      <w:pPr>
        <w:keepNext w:val="0"/>
        <w:keepLines w:val="0"/>
        <w:pageBreakBefore w:val="0"/>
        <w:widowControl w:val="0"/>
        <w:kinsoku/>
        <w:wordWrap/>
        <w:topLinePunct w:val="0"/>
        <w:bidi w:val="0"/>
        <w:adjustRightInd/>
        <w:snapToGrid/>
        <w:spacing w:line="240" w:lineRule="auto"/>
        <w:ind w:firstLine="616" w:firstLineChars="196"/>
        <w:textAlignment w:val="auto"/>
        <w:rPr>
          <w:rFonts w:eastAsia="仿宋_GB2312"/>
          <w:bCs/>
          <w:color w:val="000000"/>
          <w:sz w:val="32"/>
          <w:szCs w:val="32"/>
        </w:rPr>
      </w:pPr>
      <w:r>
        <w:rPr>
          <w:rFonts w:eastAsia="仿宋_GB2312"/>
          <w:bCs/>
          <w:color w:val="000000"/>
          <w:sz w:val="32"/>
          <w:szCs w:val="32"/>
        </w:rPr>
        <w:t>《反垄断法》第四十八条规定“经营者违反本法规定实施集中的，由国务院反垄断执法机构责令停止实施集中、限期处分股份或者资产、限期转让营业以及采取其他必要措施恢复到集中前的状态，可以处五十万元以下的罚款”。《反垄断法》第四十九条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kinsoku/>
        <w:wordWrap/>
        <w:topLinePunct w:val="0"/>
        <w:bidi w:val="0"/>
        <w:snapToGrid/>
        <w:spacing w:line="240" w:lineRule="auto"/>
        <w:ind w:firstLine="616" w:firstLineChars="196"/>
        <w:textAlignment w:val="auto"/>
        <w:rPr>
          <w:rFonts w:hint="eastAsia" w:ascii="仿宋_GB2312" w:hAnsi="仿宋_GB2312" w:eastAsia="仿宋_GB2312" w:cs="仿宋_GB2312"/>
          <w:bCs/>
          <w:color w:val="000000"/>
          <w:sz w:val="32"/>
          <w:szCs w:val="32"/>
        </w:rPr>
      </w:pPr>
      <w:r>
        <w:rPr>
          <w:rFonts w:eastAsia="仿宋_GB2312"/>
          <w:bCs/>
          <w:color w:val="000000"/>
          <w:sz w:val="32"/>
          <w:szCs w:val="32"/>
        </w:rPr>
        <w:t>根据上述规定，</w:t>
      </w:r>
      <w:r>
        <w:rPr>
          <w:rFonts w:hint="eastAsia" w:eastAsia="仿宋_GB2312"/>
          <w:sz w:val="32"/>
          <w:szCs w:val="32"/>
        </w:rPr>
        <w:t>基于上述调查情况和评估结论，</w:t>
      </w:r>
      <w:bookmarkStart w:id="1" w:name="OLE_LINK1"/>
      <w:r>
        <w:rPr>
          <w:rFonts w:hint="eastAsia" w:ascii="仿宋_GB2312" w:hAnsi="仿宋_GB2312" w:eastAsia="仿宋_GB2312" w:cs="仿宋_GB2312"/>
          <w:bCs/>
          <w:color w:val="000000"/>
          <w:sz w:val="32"/>
          <w:szCs w:val="32"/>
        </w:rPr>
        <w:t>本机关</w:t>
      </w:r>
      <w:bookmarkEnd w:id="1"/>
      <w:r>
        <w:rPr>
          <w:rFonts w:hint="eastAsia" w:ascii="仿宋_GB2312" w:hAnsi="仿宋_GB2312" w:eastAsia="仿宋_GB2312" w:cs="仿宋_GB2312"/>
          <w:bCs/>
          <w:color w:val="000000"/>
          <w:sz w:val="32"/>
          <w:szCs w:val="32"/>
          <w:lang w:eastAsia="zh-CN"/>
        </w:rPr>
        <w:t>分别</w:t>
      </w:r>
      <w:r>
        <w:rPr>
          <w:rFonts w:hint="eastAsia" w:ascii="仿宋_GB2312" w:hAnsi="仿宋_GB2312" w:eastAsia="仿宋_GB2312" w:cs="仿宋_GB2312"/>
          <w:bCs/>
          <w:color w:val="000000"/>
          <w:sz w:val="32"/>
          <w:szCs w:val="32"/>
        </w:rPr>
        <w:t>给予</w:t>
      </w:r>
      <w:r>
        <w:rPr>
          <w:rFonts w:hint="eastAsia" w:ascii="仿宋_GB2312" w:hAnsi="仿宋_GB2312" w:eastAsia="仿宋_GB2312" w:cs="仿宋_GB2312"/>
          <w:sz w:val="32"/>
          <w:szCs w:val="32"/>
          <w:lang w:eastAsia="zh-CN"/>
        </w:rPr>
        <w:t>三菱重工与苏宁易购</w:t>
      </w:r>
      <w:r>
        <w:rPr>
          <w:rFonts w:hint="eastAsia" w:ascii="Times New Roman" w:hAnsi="Times New Roman" w:eastAsia="仿宋_GB2312" w:cs="Times New Roman"/>
          <w:kern w:val="2"/>
          <w:sz w:val="32"/>
          <w:szCs w:val="32"/>
          <w:lang w:val="en-US" w:eastAsia="zh-CN" w:bidi="ar-SA"/>
        </w:rPr>
        <w:t>50</w:t>
      </w:r>
      <w:r>
        <w:rPr>
          <w:rFonts w:hint="eastAsia" w:ascii="仿宋_GB2312" w:hAnsi="仿宋_GB2312" w:eastAsia="仿宋_GB2312" w:cs="仿宋_GB2312"/>
          <w:bCs/>
          <w:color w:val="000000"/>
          <w:sz w:val="32"/>
          <w:szCs w:val="32"/>
        </w:rPr>
        <w:t>万元罚款的行政处罚。</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rPr>
          <w:rFonts w:eastAsia="仿宋_GB2312"/>
          <w:sz w:val="32"/>
          <w:szCs w:val="32"/>
        </w:rPr>
      </w:pPr>
      <w:r>
        <w:rPr>
          <w:rFonts w:hint="eastAsia" w:eastAsia="仿宋_GB2312"/>
          <w:sz w:val="32"/>
          <w:szCs w:val="32"/>
        </w:rPr>
        <w:t>《行政处罚法》第四十六条规定“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rPr>
          <w:rFonts w:eastAsia="仿宋_GB2312"/>
          <w:sz w:val="32"/>
          <w:szCs w:val="32"/>
        </w:rPr>
      </w:pPr>
      <w:r>
        <w:rPr>
          <w:rFonts w:hint="eastAsia" w:eastAsia="仿宋_GB2312"/>
          <w:sz w:val="32"/>
          <w:szCs w:val="32"/>
        </w:rPr>
        <w:t>当事人应当自收到本行政处罚决定书之日起十五日内，根据本行政处罚决定书，携缴款码到12家中央财政非税收入收缴代理银行（工、农、中、建、交、中信、光大、招商、邮储、华夏、平安、兴业）任一银行网点或者网上银行交纳罚款。缴款码为：</w:t>
      </w:r>
      <w:r>
        <w:rPr>
          <w:rFonts w:hint="eastAsia" w:eastAsia="仿宋_GB2312"/>
          <w:sz w:val="32"/>
          <w:szCs w:val="32"/>
          <w:lang w:eastAsia="zh-CN"/>
        </w:rPr>
        <w:t>三菱重工</w:t>
      </w:r>
      <w:r>
        <w:rPr>
          <w:rFonts w:hint="eastAsia" w:eastAsia="仿宋_GB2312"/>
          <w:sz w:val="32"/>
          <w:szCs w:val="32"/>
        </w:rPr>
        <w:t>000000210</w:t>
      </w:r>
      <w:r>
        <w:rPr>
          <w:rFonts w:hint="eastAsia" w:eastAsia="仿宋_GB2312"/>
          <w:sz w:val="32"/>
          <w:szCs w:val="32"/>
          <w:lang w:val="en-US" w:eastAsia="zh-CN"/>
        </w:rPr>
        <w:t>1210710；苏宁易购0000002101210728</w:t>
      </w:r>
      <w:r>
        <w:rPr>
          <w:rFonts w:hint="eastAsia" w:eastAsia="仿宋_GB2312"/>
          <w:sz w:val="32"/>
          <w:szCs w:val="32"/>
        </w:rPr>
        <w:t>。</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rPr>
          <w:sz w:val="32"/>
          <w:szCs w:val="32"/>
        </w:rPr>
      </w:pPr>
      <w:r>
        <w:rPr>
          <w:rFonts w:hint="eastAsia" w:eastAsia="仿宋_GB2312"/>
          <w:sz w:val="32"/>
          <w:szCs w:val="32"/>
        </w:rPr>
        <w:t>当事人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w:t>
      </w:r>
    </w:p>
    <w:p>
      <w:pPr>
        <w:keepNext w:val="0"/>
        <w:keepLines w:val="0"/>
        <w:pageBreakBefore w:val="0"/>
        <w:widowControl w:val="0"/>
        <w:kinsoku/>
        <w:wordWrap/>
        <w:topLinePunct w:val="0"/>
        <w:bidi w:val="0"/>
        <w:adjustRightInd/>
        <w:snapToGrid/>
        <w:spacing w:line="240" w:lineRule="auto"/>
        <w:ind w:firstLine="5433" w:firstLineChars="1730"/>
        <w:textAlignment w:val="auto"/>
        <w:rPr>
          <w:rFonts w:eastAsia="仿宋_GB2312"/>
          <w:sz w:val="32"/>
          <w:szCs w:val="32"/>
        </w:rPr>
      </w:pPr>
      <w:r>
        <w:rPr>
          <w:rFonts w:hint="eastAsia" w:eastAsia="仿宋_GB2312"/>
          <w:sz w:val="32"/>
          <w:szCs w:val="32"/>
        </w:rPr>
        <w:t>市场监管总局</w:t>
      </w:r>
    </w:p>
    <w:p>
      <w:pPr>
        <w:keepNext w:val="0"/>
        <w:keepLines w:val="0"/>
        <w:pageBreakBefore w:val="0"/>
        <w:widowControl w:val="0"/>
        <w:kinsoku/>
        <w:wordWrap/>
        <w:topLinePunct w:val="0"/>
        <w:bidi w:val="0"/>
        <w:adjustRightInd/>
        <w:snapToGrid/>
        <w:spacing w:line="240" w:lineRule="auto"/>
        <w:ind w:firstLine="5225" w:firstLineChars="1664"/>
        <w:textAlignment w:val="auto"/>
        <w:rPr>
          <w:rFonts w:eastAsia="仿宋_GB2312"/>
          <w:sz w:val="32"/>
          <w:szCs w:val="32"/>
        </w:rPr>
      </w:pPr>
      <w:r>
        <w:rPr>
          <w:rFonts w:hint="eastAsia" w:eastAsia="仿宋_GB2312"/>
          <w:sz w:val="32"/>
          <w:szCs w:val="32"/>
        </w:rPr>
        <w:t>2021年</w:t>
      </w:r>
      <w:r>
        <w:rPr>
          <w:rFonts w:hint="eastAsia" w:eastAsia="仿宋_GB2312"/>
          <w:sz w:val="32"/>
          <w:szCs w:val="32"/>
          <w:lang w:val="en-US" w:eastAsia="zh-CN"/>
        </w:rPr>
        <w:t>7</w:t>
      </w:r>
      <w:r>
        <w:rPr>
          <w:rFonts w:hint="eastAsia" w:eastAsia="仿宋_GB2312"/>
          <w:sz w:val="32"/>
          <w:szCs w:val="32"/>
        </w:rPr>
        <w:t>月</w:t>
      </w:r>
      <w:r>
        <w:rPr>
          <w:rFonts w:hint="eastAsia" w:eastAsia="仿宋_GB2312"/>
          <w:sz w:val="32"/>
          <w:szCs w:val="32"/>
          <w:lang w:val="en-US" w:eastAsia="zh-CN"/>
        </w:rPr>
        <w:t>6</w:t>
      </w:r>
      <w:r>
        <w:rPr>
          <w:rFonts w:hint="eastAsia" w:eastAsia="仿宋_GB2312"/>
          <w:sz w:val="32"/>
          <w:szCs w:val="32"/>
        </w:rPr>
        <w:t>日</w:t>
      </w:r>
    </w:p>
    <w:p>
      <w:pPr>
        <w:keepNext w:val="0"/>
        <w:keepLines w:val="0"/>
        <w:pageBreakBefore w:val="0"/>
        <w:widowControl w:val="0"/>
        <w:kinsoku/>
        <w:wordWrap/>
        <w:topLinePunct w:val="0"/>
        <w:bidi w:val="0"/>
        <w:adjustRightInd/>
        <w:snapToGrid/>
        <w:spacing w:line="240" w:lineRule="auto"/>
        <w:ind w:firstLine="628" w:firstLineChars="200"/>
        <w:textAlignment w:val="auto"/>
        <w:rPr>
          <w:rFonts w:eastAsia="仿宋_GB2312"/>
          <w:sz w:val="32"/>
          <w:szCs w:val="32"/>
        </w:rPr>
      </w:pPr>
      <w:r>
        <w:rPr>
          <w:rFonts w:hint="eastAsia" w:eastAsia="仿宋_GB2312"/>
          <w:sz w:val="32"/>
          <w:szCs w:val="32"/>
        </w:rPr>
        <w:t>（此件公开发布）</w:t>
      </w:r>
    </w:p>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7"/>
        <w:rFonts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3</w:t>
    </w:r>
    <w:r>
      <w:rPr>
        <w:rStyle w:val="7"/>
        <w:rFonts w:ascii="宋体" w:hAnsi="宋体"/>
        <w:sz w:val="28"/>
        <w:szCs w:val="28"/>
      </w:rPr>
      <w:fldChar w:fldCharType="end"/>
    </w:r>
    <w:r>
      <w:rPr>
        <w:rStyle w:val="7"/>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420"/>
  <w:drawingGridHorizontalSpacing w:val="102"/>
  <w:drawingGridVerticalSpacing w:val="289"/>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11E"/>
    <w:rsid w:val="00040581"/>
    <w:rsid w:val="000548A3"/>
    <w:rsid w:val="000827DF"/>
    <w:rsid w:val="00091794"/>
    <w:rsid w:val="00104DF8"/>
    <w:rsid w:val="0012430A"/>
    <w:rsid w:val="00133F5C"/>
    <w:rsid w:val="001377A0"/>
    <w:rsid w:val="00157F53"/>
    <w:rsid w:val="001659F5"/>
    <w:rsid w:val="00172A27"/>
    <w:rsid w:val="001B5F85"/>
    <w:rsid w:val="001D38FA"/>
    <w:rsid w:val="001D41C2"/>
    <w:rsid w:val="00215C4B"/>
    <w:rsid w:val="002211B6"/>
    <w:rsid w:val="00224158"/>
    <w:rsid w:val="00234B72"/>
    <w:rsid w:val="00245423"/>
    <w:rsid w:val="00252E7C"/>
    <w:rsid w:val="00272B6F"/>
    <w:rsid w:val="00290548"/>
    <w:rsid w:val="00295562"/>
    <w:rsid w:val="002A1B6C"/>
    <w:rsid w:val="002A7578"/>
    <w:rsid w:val="002D4659"/>
    <w:rsid w:val="002D6CFB"/>
    <w:rsid w:val="002D7588"/>
    <w:rsid w:val="002F155E"/>
    <w:rsid w:val="0031556A"/>
    <w:rsid w:val="00373D66"/>
    <w:rsid w:val="003A1E45"/>
    <w:rsid w:val="003A4782"/>
    <w:rsid w:val="003D3BC1"/>
    <w:rsid w:val="003D6E20"/>
    <w:rsid w:val="003F7ACA"/>
    <w:rsid w:val="004715CB"/>
    <w:rsid w:val="004A3B22"/>
    <w:rsid w:val="004A6137"/>
    <w:rsid w:val="004B0121"/>
    <w:rsid w:val="004B1754"/>
    <w:rsid w:val="004B55D7"/>
    <w:rsid w:val="004B6FC4"/>
    <w:rsid w:val="004B7197"/>
    <w:rsid w:val="004C4C76"/>
    <w:rsid w:val="005036C6"/>
    <w:rsid w:val="00521A14"/>
    <w:rsid w:val="00550A0E"/>
    <w:rsid w:val="005701B7"/>
    <w:rsid w:val="0057731C"/>
    <w:rsid w:val="005834E9"/>
    <w:rsid w:val="00583867"/>
    <w:rsid w:val="00587D8A"/>
    <w:rsid w:val="005927DC"/>
    <w:rsid w:val="005B5018"/>
    <w:rsid w:val="005D07A8"/>
    <w:rsid w:val="005D48B1"/>
    <w:rsid w:val="00604C0E"/>
    <w:rsid w:val="00614049"/>
    <w:rsid w:val="00630C68"/>
    <w:rsid w:val="00655AF9"/>
    <w:rsid w:val="00656161"/>
    <w:rsid w:val="006578EE"/>
    <w:rsid w:val="00660A94"/>
    <w:rsid w:val="00661399"/>
    <w:rsid w:val="0066394B"/>
    <w:rsid w:val="006A3757"/>
    <w:rsid w:val="006A50C5"/>
    <w:rsid w:val="006A5BC7"/>
    <w:rsid w:val="006B5883"/>
    <w:rsid w:val="006C3A6D"/>
    <w:rsid w:val="006D4879"/>
    <w:rsid w:val="006E715E"/>
    <w:rsid w:val="00703F3B"/>
    <w:rsid w:val="00705AB4"/>
    <w:rsid w:val="00725EB8"/>
    <w:rsid w:val="0073264D"/>
    <w:rsid w:val="0076009F"/>
    <w:rsid w:val="007754D3"/>
    <w:rsid w:val="007B40DF"/>
    <w:rsid w:val="007C5FFE"/>
    <w:rsid w:val="007E404F"/>
    <w:rsid w:val="008039F4"/>
    <w:rsid w:val="008421E5"/>
    <w:rsid w:val="008546C0"/>
    <w:rsid w:val="0086703C"/>
    <w:rsid w:val="00880EEE"/>
    <w:rsid w:val="008A6262"/>
    <w:rsid w:val="008C4F45"/>
    <w:rsid w:val="008C74C9"/>
    <w:rsid w:val="008D18C9"/>
    <w:rsid w:val="008F7380"/>
    <w:rsid w:val="009054BC"/>
    <w:rsid w:val="00933B18"/>
    <w:rsid w:val="009766E6"/>
    <w:rsid w:val="009C1DFA"/>
    <w:rsid w:val="009C2E79"/>
    <w:rsid w:val="009C64B1"/>
    <w:rsid w:val="00A1167A"/>
    <w:rsid w:val="00A43255"/>
    <w:rsid w:val="00A43444"/>
    <w:rsid w:val="00A579FA"/>
    <w:rsid w:val="00A64434"/>
    <w:rsid w:val="00A863CB"/>
    <w:rsid w:val="00AA210A"/>
    <w:rsid w:val="00AF28DA"/>
    <w:rsid w:val="00AF75F0"/>
    <w:rsid w:val="00B219BA"/>
    <w:rsid w:val="00B26526"/>
    <w:rsid w:val="00B63EEB"/>
    <w:rsid w:val="00B73583"/>
    <w:rsid w:val="00B76FB1"/>
    <w:rsid w:val="00B94346"/>
    <w:rsid w:val="00B948A7"/>
    <w:rsid w:val="00B972B7"/>
    <w:rsid w:val="00BA16FE"/>
    <w:rsid w:val="00BD7CF0"/>
    <w:rsid w:val="00BE39C4"/>
    <w:rsid w:val="00BF319F"/>
    <w:rsid w:val="00C0343D"/>
    <w:rsid w:val="00C157EB"/>
    <w:rsid w:val="00C206BA"/>
    <w:rsid w:val="00C302A6"/>
    <w:rsid w:val="00C54183"/>
    <w:rsid w:val="00C77643"/>
    <w:rsid w:val="00C87B50"/>
    <w:rsid w:val="00CC3D1E"/>
    <w:rsid w:val="00D039F2"/>
    <w:rsid w:val="00D03E5A"/>
    <w:rsid w:val="00D10C55"/>
    <w:rsid w:val="00D12714"/>
    <w:rsid w:val="00D216FE"/>
    <w:rsid w:val="00D26834"/>
    <w:rsid w:val="00D30DD5"/>
    <w:rsid w:val="00D40512"/>
    <w:rsid w:val="00D43969"/>
    <w:rsid w:val="00D61F35"/>
    <w:rsid w:val="00D64391"/>
    <w:rsid w:val="00D71DFB"/>
    <w:rsid w:val="00D71ED4"/>
    <w:rsid w:val="00D746CB"/>
    <w:rsid w:val="00D85D06"/>
    <w:rsid w:val="00D873E3"/>
    <w:rsid w:val="00DB5CAF"/>
    <w:rsid w:val="00DD56EC"/>
    <w:rsid w:val="00DE3DCF"/>
    <w:rsid w:val="00E22F9F"/>
    <w:rsid w:val="00E4554C"/>
    <w:rsid w:val="00E508DB"/>
    <w:rsid w:val="00E541CD"/>
    <w:rsid w:val="00E557EF"/>
    <w:rsid w:val="00E55B87"/>
    <w:rsid w:val="00EA037C"/>
    <w:rsid w:val="00EC0E39"/>
    <w:rsid w:val="00EC70E9"/>
    <w:rsid w:val="00ED1821"/>
    <w:rsid w:val="00ED42C0"/>
    <w:rsid w:val="00F02F79"/>
    <w:rsid w:val="00F10C7C"/>
    <w:rsid w:val="00F20E60"/>
    <w:rsid w:val="00F72F95"/>
    <w:rsid w:val="00F90DCE"/>
    <w:rsid w:val="00FA4B88"/>
    <w:rsid w:val="00FC731D"/>
    <w:rsid w:val="00FD276D"/>
    <w:rsid w:val="00FE4FC2"/>
    <w:rsid w:val="00FE6553"/>
    <w:rsid w:val="01354E8B"/>
    <w:rsid w:val="01530E89"/>
    <w:rsid w:val="019452B7"/>
    <w:rsid w:val="030B7089"/>
    <w:rsid w:val="03570C80"/>
    <w:rsid w:val="040D264D"/>
    <w:rsid w:val="044C2096"/>
    <w:rsid w:val="04E75D87"/>
    <w:rsid w:val="0B307E77"/>
    <w:rsid w:val="0D4D2427"/>
    <w:rsid w:val="0D8F1716"/>
    <w:rsid w:val="0EAA3ED1"/>
    <w:rsid w:val="104E0B39"/>
    <w:rsid w:val="132500A4"/>
    <w:rsid w:val="13736A74"/>
    <w:rsid w:val="13752A27"/>
    <w:rsid w:val="15F526A7"/>
    <w:rsid w:val="177C27C1"/>
    <w:rsid w:val="1B28094D"/>
    <w:rsid w:val="1BA32E6B"/>
    <w:rsid w:val="1BE7757A"/>
    <w:rsid w:val="1FAB48BB"/>
    <w:rsid w:val="20AA5D2A"/>
    <w:rsid w:val="211B31BE"/>
    <w:rsid w:val="29F90FED"/>
    <w:rsid w:val="2B206C51"/>
    <w:rsid w:val="2DE60730"/>
    <w:rsid w:val="2E301C88"/>
    <w:rsid w:val="2E7343AE"/>
    <w:rsid w:val="301A4762"/>
    <w:rsid w:val="32DC238B"/>
    <w:rsid w:val="332C23F5"/>
    <w:rsid w:val="34524D2B"/>
    <w:rsid w:val="379E3DB0"/>
    <w:rsid w:val="380E6B88"/>
    <w:rsid w:val="3A30675E"/>
    <w:rsid w:val="3ABD31FA"/>
    <w:rsid w:val="3E974195"/>
    <w:rsid w:val="3EAD5FEC"/>
    <w:rsid w:val="3F267478"/>
    <w:rsid w:val="421D1137"/>
    <w:rsid w:val="451B0817"/>
    <w:rsid w:val="4AB65652"/>
    <w:rsid w:val="4D39790A"/>
    <w:rsid w:val="4FD318BE"/>
    <w:rsid w:val="52154BBE"/>
    <w:rsid w:val="52A64375"/>
    <w:rsid w:val="542559AB"/>
    <w:rsid w:val="542A0388"/>
    <w:rsid w:val="55F04205"/>
    <w:rsid w:val="5BD57F9D"/>
    <w:rsid w:val="5DEA10B2"/>
    <w:rsid w:val="5DF63A62"/>
    <w:rsid w:val="5F3D449D"/>
    <w:rsid w:val="63464DED"/>
    <w:rsid w:val="653809D0"/>
    <w:rsid w:val="66034A8F"/>
    <w:rsid w:val="6A965485"/>
    <w:rsid w:val="6B146BDD"/>
    <w:rsid w:val="6F984983"/>
    <w:rsid w:val="74D14500"/>
    <w:rsid w:val="75944317"/>
    <w:rsid w:val="79A77D16"/>
    <w:rsid w:val="7B421683"/>
    <w:rsid w:val="7C291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szCs w:val="2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unhideWhenUsed/>
    <w:qFormat/>
    <w:uiPriority w:val="99"/>
    <w:rPr>
      <w:rFonts w:ascii="宋体" w:hAnsi="宋体" w:cs="宋体"/>
      <w:color w:val="333333"/>
      <w:u w:val="none"/>
    </w:rPr>
  </w:style>
  <w:style w:type="paragraph" w:customStyle="1" w:styleId="10">
    <w:name w:val="Default"/>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customStyle="1" w:styleId="11">
    <w:name w:val="内容"/>
    <w:basedOn w:val="1"/>
    <w:link w:val="12"/>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 w:type="character" w:customStyle="1" w:styleId="12">
    <w:name w:val="内容 Char"/>
    <w:basedOn w:val="6"/>
    <w:link w:val="11"/>
    <w:qFormat/>
    <w:uiPriority w:val="0"/>
    <w:rPr>
      <w:rFonts w:ascii="仿宋_GB2312" w:hAnsi="仿宋_GB2312" w:eastAsia="仿宋_GB2312"/>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5</Pages>
  <Words>1874</Words>
  <Characters>308</Characters>
  <Lines>2</Lines>
  <Paragraphs>4</Paragraphs>
  <TotalTime>0</TotalTime>
  <ScaleCrop>false</ScaleCrop>
  <LinksUpToDate>false</LinksUpToDate>
  <CharactersWithSpaces>2178</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2020-04-01T01:55:00Z</dcterms:created>
  <dc:creator>FtpDown</dc:creator>
  <cp:lastModifiedBy>成竹</cp:lastModifiedBy>
  <cp:lastPrinted>2021-07-02T03:36:00Z</cp:lastPrinted>
  <dcterms:modified xsi:type="dcterms:W3CDTF">2021-07-07T09:16:04Z</dcterms:modified>
  <dc:title>国有工商行政管理总局行政处罚公告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