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both"/>
        <w:rPr>
          <w:del w:id="0" w:author="测试14" w:date="2021-08-02T10:16:37Z"/>
          <w:rFonts w:hint="eastAsia" w:ascii="黑体" w:hAnsi="黑体" w:eastAsia="黑体" w:cs="黑体"/>
          <w:sz w:val="32"/>
          <w:szCs w:val="32"/>
          <w:lang w:val="en-US" w:eastAsia="zh-CN"/>
        </w:rPr>
      </w:pPr>
      <w:bookmarkStart w:id="0" w:name="_Toc493509998"/>
      <w:bookmarkStart w:id="11" w:name="_GoBack"/>
      <w:bookmarkEnd w:id="11"/>
    </w:p>
    <w:p>
      <w:pPr>
        <w:widowControl/>
        <w:adjustRightInd w:val="0"/>
        <w:snapToGrid w:val="0"/>
        <w:spacing w:line="560" w:lineRule="exact"/>
        <w:jc w:val="both"/>
        <w:rPr>
          <w:rFonts w:hint="default" w:ascii="黑体" w:hAnsi="黑体" w:eastAsia="黑体" w:cs="黑体"/>
          <w:sz w:val="32"/>
          <w:szCs w:val="32"/>
          <w:lang w:val="en-US" w:eastAsia="zh-CN"/>
        </w:rPr>
      </w:pPr>
    </w:p>
    <w:p>
      <w:pPr>
        <w:widowControl/>
        <w:adjustRightInd w:val="0"/>
        <w:snapToGrid w:val="0"/>
        <w:spacing w:line="560" w:lineRule="exact"/>
        <w:jc w:val="center"/>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乳制品生产许可审查细则</w:t>
      </w:r>
      <w:bookmarkEnd w:id="0"/>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p>
    <w:p>
      <w:pPr>
        <w:adjustRightInd w:val="0"/>
        <w:snapToGrid w:val="0"/>
        <w:spacing w:line="560" w:lineRule="exact"/>
        <w:jc w:val="center"/>
        <w:rPr>
          <w:rFonts w:ascii="华文中宋" w:hAnsi="华文中宋" w:eastAsia="华文中宋"/>
          <w:sz w:val="32"/>
          <w:szCs w:val="32"/>
        </w:rPr>
      </w:pPr>
      <w:bookmarkStart w:id="1" w:name="_Toc493509999"/>
    </w:p>
    <w:p>
      <w:pPr>
        <w:adjustRightInd w:val="0"/>
        <w:snapToGrid w:val="0"/>
        <w:spacing w:line="560" w:lineRule="exact"/>
        <w:jc w:val="center"/>
        <w:rPr>
          <w:rFonts w:ascii="Times New Roman" w:hAnsi="Times New Roman" w:eastAsia="仿宋_GB2312"/>
          <w:sz w:val="28"/>
          <w:szCs w:val="28"/>
        </w:rPr>
      </w:pPr>
      <w:r>
        <w:rPr>
          <w:rFonts w:hint="eastAsia" w:ascii="黑体" w:hAnsi="黑体" w:eastAsia="黑体" w:cs="黑体"/>
          <w:sz w:val="32"/>
          <w:szCs w:val="32"/>
        </w:rPr>
        <w:t>第一章  总  则</w:t>
      </w:r>
      <w:bookmarkEnd w:id="1"/>
    </w:p>
    <w:p>
      <w:pPr>
        <w:spacing w:line="560" w:lineRule="exact"/>
        <w:ind w:firstLine="160" w:firstLineChars="50"/>
        <w:rPr>
          <w:sz w:val="22"/>
        </w:rPr>
      </w:pPr>
      <w:r>
        <w:rPr>
          <w:rFonts w:hint="eastAsia" w:ascii="Times New Roman" w:hAnsi="Times New Roman" w:eastAsia="仿宋_GB2312"/>
          <w:kern w:val="0"/>
          <w:sz w:val="32"/>
          <w:szCs w:val="32"/>
        </w:rPr>
        <w:t xml:space="preserve">  </w:t>
      </w:r>
    </w:p>
    <w:p>
      <w:pPr>
        <w:widowControl/>
        <w:adjustRightInd w:val="0"/>
        <w:snapToGrid w:val="0"/>
        <w:spacing w:line="560" w:lineRule="exact"/>
        <w:rPr>
          <w:rStyle w:val="58"/>
        </w:rPr>
      </w:pPr>
      <w:r>
        <w:rPr>
          <w:rFonts w:hint="eastAsia" w:ascii="Times New Roman" w:hAnsi="Times New Roman" w:eastAsia="仿宋_GB2312"/>
          <w:kern w:val="0"/>
          <w:sz w:val="32"/>
          <w:szCs w:val="32"/>
        </w:rPr>
        <w:t xml:space="preserve">  </w:t>
      </w:r>
      <w:r>
        <w:rPr>
          <w:rFonts w:hint="eastAsia" w:ascii="Times New Roman" w:hAnsi="Times New Roman" w:eastAsia="仿宋_GB2312"/>
          <w:b/>
          <w:kern w:val="0"/>
          <w:sz w:val="32"/>
          <w:szCs w:val="32"/>
        </w:rPr>
        <w:t xml:space="preserve"> </w:t>
      </w:r>
      <w:r>
        <w:rPr>
          <w:rFonts w:hint="eastAsia" w:ascii="黑体" w:hAnsi="黑体" w:eastAsia="黑体" w:cs="黑体"/>
          <w:bCs/>
          <w:kern w:val="0"/>
          <w:sz w:val="32"/>
          <w:szCs w:val="32"/>
        </w:rPr>
        <w:t xml:space="preserve"> 第一条 </w:t>
      </w:r>
      <w:r>
        <w:rPr>
          <w:rFonts w:hint="eastAsia" w:ascii="Times New Roman" w:hAnsi="Times New Roman" w:eastAsia="仿宋_GB2312"/>
          <w:b/>
          <w:kern w:val="0"/>
          <w:sz w:val="32"/>
          <w:szCs w:val="32"/>
        </w:rPr>
        <w:t xml:space="preserve"> </w:t>
      </w:r>
      <w:r>
        <w:rPr>
          <w:rFonts w:hint="eastAsia" w:ascii="仿宋_GB2312" w:hAnsi="仿宋_GB2312" w:eastAsia="仿宋_GB2312" w:cs="仿宋_GB2312"/>
          <w:bCs/>
          <w:kern w:val="0"/>
          <w:sz w:val="32"/>
          <w:szCs w:val="32"/>
        </w:rPr>
        <w:t>本细则适用于企业申请乳制品生产条件的审查。细则中所称乳制品</w:t>
      </w:r>
      <w:r>
        <w:rPr>
          <w:rFonts w:hint="eastAsia" w:ascii="仿宋_GB2312" w:hAnsi="仿宋_GB2312" w:eastAsia="仿宋_GB2312" w:cs="仿宋_GB2312"/>
          <w:bCs/>
          <w:kern w:val="0"/>
          <w:sz w:val="32"/>
          <w:szCs w:val="32"/>
          <w:lang w:eastAsia="zh-CN"/>
        </w:rPr>
        <w:t>是</w:t>
      </w:r>
      <w:r>
        <w:rPr>
          <w:rFonts w:hint="eastAsia" w:ascii="仿宋_GB2312" w:hAnsi="仿宋_GB2312" w:eastAsia="仿宋_GB2312" w:cs="仿宋_GB2312"/>
          <w:bCs/>
          <w:kern w:val="0"/>
          <w:sz w:val="32"/>
          <w:szCs w:val="32"/>
        </w:rPr>
        <w:t>指使用乳类及其加工制品为主要原料，使用法律法规及标准规定所要求的条件，加入或不加入适量的维生素、矿物质和其他原料加工制作的产品</w:t>
      </w:r>
      <w:r>
        <w:rPr>
          <w:rFonts w:hint="eastAsia" w:ascii="Times New Roman" w:eastAsia="仿宋_GB2312" w:hAnsiTheme="minorEastAsia"/>
          <w:b/>
          <w:kern w:val="0"/>
          <w:sz w:val="32"/>
          <w:szCs w:val="32"/>
        </w:rPr>
        <w:t>。</w:t>
      </w:r>
      <w:r>
        <w:rPr>
          <w:rFonts w:hint="eastAsia" w:ascii="Times New Roman" w:hAnsi="Times New Roman" w:eastAsia="仿宋_GB2312"/>
          <w:b/>
          <w:kern w:val="0"/>
          <w:sz w:val="32"/>
          <w:szCs w:val="32"/>
        </w:rPr>
        <w:t xml:space="preserve"> </w:t>
      </w:r>
    </w:p>
    <w:p>
      <w:pPr>
        <w:widowControl/>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 xml:space="preserve">第二条 </w:t>
      </w:r>
      <w:r>
        <w:rPr>
          <w:rFonts w:hint="eastAsia" w:ascii="华文中宋" w:hAnsi="华文中宋" w:eastAsia="华文中宋" w:cs="Times New Roman"/>
          <w:b/>
          <w:kern w:val="0"/>
          <w:sz w:val="32"/>
          <w:szCs w:val="32"/>
        </w:rPr>
        <w:t xml:space="preserve"> </w:t>
      </w:r>
      <w:r>
        <w:rPr>
          <w:rFonts w:hint="eastAsia" w:ascii="仿宋_GB2312" w:hAnsi="仿宋_GB2312" w:eastAsia="仿宋_GB2312" w:cs="仿宋_GB2312"/>
          <w:bCs/>
          <w:kern w:val="0"/>
          <w:sz w:val="32"/>
          <w:szCs w:val="32"/>
        </w:rPr>
        <w:t>乳制品申证产品类别为：液体乳（类别编号0501）、乳粉（类别编号0502）和其它乳制品(类别编号0503)。生产许可证产品名称须注明食品类别、乳制品类别和类别名称，即乳制品[液体乳（巴氏杀菌乳、高温杀菌乳、调制乳、灭菌乳、发酵乳）、乳粉（全脂乳粉、脱脂乳粉、部分脱脂乳粉、调制乳粉、乳清粉）、其他乳制品（浓缩乳制品、奶油、稀奶油、无水奶油、干酪、再制干酪、特色乳制品等）]。生产许可证副页须注明获得生产许可的乳制品品种明细。乳制品生产许可具体食品类别及品种明细目录见表1。</w:t>
      </w:r>
    </w:p>
    <w:p>
      <w:pPr>
        <w:tabs>
          <w:tab w:val="left" w:pos="0"/>
          <w:tab w:val="left" w:pos="425"/>
        </w:tabs>
        <w:adjustRightInd w:val="0"/>
        <w:snapToGrid w:val="0"/>
        <w:spacing w:after="240" w:line="560" w:lineRule="exact"/>
        <w:jc w:val="center"/>
        <w:rPr>
          <w:rFonts w:ascii="仿宋_GB2312" w:hAnsi="仿宋_GB2312" w:eastAsia="仿宋_GB2312" w:cs="仿宋_GB2312"/>
          <w:sz w:val="32"/>
          <w:szCs w:val="32"/>
          <w:highlight w:val="yellow"/>
        </w:rPr>
      </w:pPr>
      <w:r>
        <w:rPr>
          <w:rFonts w:hint="eastAsia" w:ascii="黑体" w:hAnsi="黑体" w:eastAsia="黑体" w:cs="黑体"/>
          <w:sz w:val="28"/>
          <w:szCs w:val="28"/>
        </w:rPr>
        <w:t>表1</w:t>
      </w:r>
      <w:r>
        <w:rPr>
          <w:rFonts w:ascii="Times New Roman" w:hAnsi="Times New Roman" w:eastAsia="仿宋_GB2312"/>
          <w:sz w:val="28"/>
          <w:szCs w:val="28"/>
        </w:rPr>
        <w:t xml:space="preserve"> </w:t>
      </w:r>
      <w:r>
        <w:rPr>
          <w:rFonts w:hint="eastAsia" w:ascii="仿宋_GB2312" w:hAnsi="仿宋_GB2312" w:eastAsia="仿宋_GB2312" w:cs="仿宋_GB2312"/>
          <w:sz w:val="32"/>
          <w:szCs w:val="32"/>
        </w:rPr>
        <w:t xml:space="preserve"> 乳制品生产许可食品类别及品种明细目录</w:t>
      </w:r>
    </w:p>
    <w:tbl>
      <w:tblPr>
        <w:tblStyle w:val="2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75"/>
        <w:gridCol w:w="1094"/>
        <w:gridCol w:w="113"/>
        <w:gridCol w:w="1465"/>
        <w:gridCol w:w="2425"/>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91" w:type="dxa"/>
            <w:vAlign w:val="center"/>
          </w:tcPr>
          <w:p>
            <w:pPr>
              <w:tabs>
                <w:tab w:val="left" w:pos="0"/>
                <w:tab w:val="center" w:pos="4153"/>
                <w:tab w:val="right" w:pos="8306"/>
              </w:tabs>
              <w:adjustRightInd w:val="0"/>
              <w:snapToGrid w:val="0"/>
              <w:spacing w:line="240" w:lineRule="auto"/>
              <w:ind w:right="73"/>
              <w:jc w:val="center"/>
              <w:rPr>
                <w:rFonts w:ascii="黑体" w:hAnsi="黑体" w:eastAsia="黑体" w:cs="黑体"/>
                <w:kern w:val="0"/>
                <w:szCs w:val="21"/>
              </w:rPr>
            </w:pPr>
            <w:r>
              <w:rPr>
                <w:rFonts w:hint="eastAsia" w:ascii="黑体" w:hAnsi="黑体" w:eastAsia="黑体" w:cs="黑体"/>
                <w:szCs w:val="21"/>
              </w:rPr>
              <w:t>食品类别</w:t>
            </w:r>
          </w:p>
        </w:tc>
        <w:tc>
          <w:tcPr>
            <w:tcW w:w="775" w:type="dxa"/>
            <w:vAlign w:val="center"/>
          </w:tcPr>
          <w:p>
            <w:pPr>
              <w:tabs>
                <w:tab w:val="left" w:pos="0"/>
                <w:tab w:val="center" w:pos="4153"/>
                <w:tab w:val="right" w:pos="8306"/>
              </w:tabs>
              <w:adjustRightInd w:val="0"/>
              <w:snapToGrid w:val="0"/>
              <w:spacing w:line="240" w:lineRule="auto"/>
              <w:ind w:right="73"/>
              <w:jc w:val="center"/>
              <w:rPr>
                <w:rFonts w:ascii="黑体" w:hAnsi="黑体" w:eastAsia="黑体" w:cs="黑体"/>
                <w:kern w:val="0"/>
                <w:szCs w:val="21"/>
              </w:rPr>
            </w:pPr>
            <w:r>
              <w:rPr>
                <w:rFonts w:hint="eastAsia" w:ascii="黑体" w:hAnsi="黑体" w:eastAsia="黑体" w:cs="黑体"/>
                <w:kern w:val="0"/>
                <w:szCs w:val="21"/>
              </w:rPr>
              <w:t>类别名称</w:t>
            </w:r>
          </w:p>
        </w:tc>
        <w:tc>
          <w:tcPr>
            <w:tcW w:w="2672" w:type="dxa"/>
            <w:gridSpan w:val="3"/>
            <w:vAlign w:val="center"/>
          </w:tcPr>
          <w:p>
            <w:pPr>
              <w:tabs>
                <w:tab w:val="left" w:pos="0"/>
                <w:tab w:val="center" w:pos="4153"/>
                <w:tab w:val="right" w:pos="8306"/>
              </w:tabs>
              <w:adjustRightInd w:val="0"/>
              <w:snapToGrid w:val="0"/>
              <w:spacing w:line="240" w:lineRule="auto"/>
              <w:ind w:right="73"/>
              <w:jc w:val="center"/>
              <w:rPr>
                <w:rFonts w:ascii="黑体" w:hAnsi="黑体" w:eastAsia="黑体" w:cs="黑体"/>
                <w:kern w:val="0"/>
                <w:szCs w:val="21"/>
              </w:rPr>
            </w:pPr>
            <w:r>
              <w:rPr>
                <w:rFonts w:hint="eastAsia" w:ascii="黑体" w:hAnsi="黑体" w:eastAsia="黑体" w:cs="黑体"/>
                <w:szCs w:val="21"/>
              </w:rPr>
              <w:t>品种明细</w:t>
            </w:r>
          </w:p>
        </w:tc>
        <w:tc>
          <w:tcPr>
            <w:tcW w:w="2425" w:type="dxa"/>
            <w:vAlign w:val="center"/>
          </w:tcPr>
          <w:p>
            <w:pPr>
              <w:widowControl/>
              <w:adjustRightInd w:val="0"/>
              <w:snapToGrid w:val="0"/>
              <w:spacing w:line="240" w:lineRule="auto"/>
              <w:jc w:val="center"/>
              <w:rPr>
                <w:rFonts w:ascii="黑体" w:hAnsi="黑体" w:eastAsia="黑体" w:cs="黑体"/>
                <w:szCs w:val="21"/>
                <w:vertAlign w:val="superscript"/>
              </w:rPr>
            </w:pPr>
            <w:r>
              <w:rPr>
                <w:rFonts w:hint="eastAsia" w:ascii="黑体" w:hAnsi="黑体" w:eastAsia="黑体" w:cs="黑体"/>
                <w:szCs w:val="21"/>
              </w:rPr>
              <w:t>执行标准及定义</w:t>
            </w:r>
            <w:r>
              <w:rPr>
                <w:rFonts w:hint="eastAsia" w:ascii="黑体" w:hAnsi="黑体" w:eastAsia="黑体" w:cs="黑体"/>
                <w:szCs w:val="21"/>
                <w:vertAlign w:val="superscript"/>
              </w:rPr>
              <w:t>a</w:t>
            </w:r>
          </w:p>
        </w:tc>
        <w:tc>
          <w:tcPr>
            <w:tcW w:w="2590" w:type="dxa"/>
            <w:vAlign w:val="center"/>
          </w:tcPr>
          <w:p>
            <w:pPr>
              <w:widowControl/>
              <w:adjustRightInd w:val="0"/>
              <w:snapToGrid w:val="0"/>
              <w:spacing w:line="240" w:lineRule="auto"/>
              <w:jc w:val="center"/>
              <w:rPr>
                <w:rFonts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restart"/>
            <w:vAlign w:val="center"/>
          </w:tcPr>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乳制品</w:t>
            </w:r>
          </w:p>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液体乳</w:t>
            </w: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1.巴氏杀菌乳</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巴氏杀菌乳》</w:t>
            </w:r>
          </w:p>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（GB 19645）</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kern w:val="0"/>
                <w:szCs w:val="21"/>
              </w:rPr>
              <w:t>包括将原料乳中的脂肪分离，分离出的脂肪经巴氏杀菌后，与采用微滤或离心除菌的脱脂奶液进行均质混合，再经巴氏杀菌制成的产品。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jc w:val="center"/>
              <w:rPr>
                <w:rFonts w:ascii="仿宋_GB2312" w:hAnsi="仿宋_GB2312" w:eastAsia="仿宋_GB2312" w:cs="仿宋_GB2312"/>
                <w:kern w:val="0"/>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2.高温杀菌乳</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《食品安全国家标准</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高温杀菌乳》（</w:t>
            </w:r>
            <w:r>
              <w:rPr>
                <w:rFonts w:ascii="仿宋_GB2312" w:hAnsi="仿宋_GB2312" w:eastAsia="仿宋_GB2312" w:cs="仿宋_GB2312"/>
                <w:color w:val="auto"/>
                <w:szCs w:val="21"/>
              </w:rPr>
              <w:t>GB XXXX）</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jc w:val="center"/>
              <w:rPr>
                <w:rFonts w:ascii="仿宋_GB2312" w:hAnsi="仿宋_GB2312" w:eastAsia="仿宋_GB2312" w:cs="仿宋_GB2312"/>
                <w:kern w:val="0"/>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3.调制乳</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调制乳》（GB 25191）</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jc w:val="center"/>
              <w:rPr>
                <w:rFonts w:ascii="仿宋_GB2312" w:hAnsi="仿宋_GB2312" w:eastAsia="仿宋_GB2312" w:cs="仿宋_GB2312"/>
                <w:kern w:val="0"/>
                <w:szCs w:val="21"/>
              </w:rPr>
            </w:pPr>
          </w:p>
        </w:tc>
        <w:tc>
          <w:tcPr>
            <w:tcW w:w="1207" w:type="dxa"/>
            <w:gridSpan w:val="2"/>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4.灭菌乳</w:t>
            </w: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超高温灭菌乳</w:t>
            </w:r>
          </w:p>
        </w:tc>
        <w:tc>
          <w:tcPr>
            <w:tcW w:w="2425"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szCs w:val="21"/>
              </w:rPr>
              <w:t>《食品安全国家标准 灭菌乳》（GB 25190）</w:t>
            </w:r>
          </w:p>
        </w:tc>
        <w:tc>
          <w:tcPr>
            <w:tcW w:w="2590"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szCs w:val="21"/>
              </w:rPr>
              <w:t>包括全脂、脱脂和部分脱脂灭菌乳。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jc w:val="center"/>
              <w:rPr>
                <w:rFonts w:ascii="仿宋_GB2312" w:hAnsi="仿宋_GB2312" w:eastAsia="仿宋_GB2312" w:cs="仿宋_GB2312"/>
                <w:kern w:val="0"/>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保持灭菌乳</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tcPr>
          <w:p>
            <w:pPr>
              <w:adjustRightInd w:val="0"/>
              <w:snapToGrid w:val="0"/>
              <w:jc w:val="center"/>
              <w:rPr>
                <w:rFonts w:ascii="仿宋_GB2312" w:hAnsi="仿宋_GB2312" w:eastAsia="仿宋_GB2312" w:cs="仿宋_GB2312"/>
                <w:kern w:val="0"/>
                <w:szCs w:val="21"/>
              </w:rPr>
            </w:pPr>
          </w:p>
        </w:tc>
        <w:tc>
          <w:tcPr>
            <w:tcW w:w="1207" w:type="dxa"/>
            <w:gridSpan w:val="2"/>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5.发酵乳</w:t>
            </w: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发酵乳</w:t>
            </w:r>
          </w:p>
        </w:tc>
        <w:tc>
          <w:tcPr>
            <w:tcW w:w="2425" w:type="dxa"/>
            <w:vMerge w:val="restart"/>
            <w:vAlign w:val="center"/>
          </w:tcPr>
          <w:p>
            <w:pPr>
              <w:widowControl/>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发酵乳》（GB 19302）</w:t>
            </w:r>
          </w:p>
        </w:tc>
        <w:tc>
          <w:tcPr>
            <w:tcW w:w="2590" w:type="dxa"/>
            <w:vMerge w:val="restart"/>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tcPr>
          <w:p>
            <w:pPr>
              <w:adjustRightInd w:val="0"/>
              <w:snapToGrid w:val="0"/>
              <w:jc w:val="center"/>
              <w:rPr>
                <w:rFonts w:ascii="仿宋_GB2312" w:hAnsi="仿宋_GB2312" w:eastAsia="仿宋_GB2312" w:cs="仿宋_GB2312"/>
                <w:kern w:val="0"/>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酸乳</w:t>
            </w:r>
          </w:p>
        </w:tc>
        <w:tc>
          <w:tcPr>
            <w:tcW w:w="2425" w:type="dxa"/>
            <w:vMerge w:val="continue"/>
            <w:vAlign w:val="center"/>
          </w:tcPr>
          <w:p>
            <w:pPr>
              <w:widowControl/>
              <w:adjustRightInd w:val="0"/>
              <w:snapToGrid w:val="0"/>
              <w:spacing w:line="240" w:lineRule="auto"/>
              <w:rPr>
                <w:rFonts w:ascii="仿宋_GB2312" w:hAnsi="仿宋_GB2312" w:eastAsia="仿宋_GB2312" w:cs="仿宋_GB2312"/>
                <w:kern w:val="0"/>
                <w:szCs w:val="21"/>
              </w:rPr>
            </w:pPr>
          </w:p>
        </w:tc>
        <w:tc>
          <w:tcPr>
            <w:tcW w:w="2590" w:type="dxa"/>
            <w:vMerge w:val="continue"/>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tcPr>
          <w:p>
            <w:pPr>
              <w:adjustRightInd w:val="0"/>
              <w:snapToGrid w:val="0"/>
              <w:jc w:val="center"/>
              <w:rPr>
                <w:rFonts w:ascii="仿宋_GB2312" w:hAnsi="仿宋_GB2312" w:eastAsia="仿宋_GB2312" w:cs="仿宋_GB2312"/>
                <w:kern w:val="0"/>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风味发酵乳</w:t>
            </w:r>
          </w:p>
        </w:tc>
        <w:tc>
          <w:tcPr>
            <w:tcW w:w="2425" w:type="dxa"/>
            <w:vMerge w:val="continue"/>
            <w:vAlign w:val="center"/>
          </w:tcPr>
          <w:p>
            <w:pPr>
              <w:widowControl/>
              <w:adjustRightInd w:val="0"/>
              <w:snapToGrid w:val="0"/>
              <w:spacing w:line="240" w:lineRule="auto"/>
              <w:rPr>
                <w:rFonts w:ascii="仿宋_GB2312" w:hAnsi="仿宋_GB2312" w:eastAsia="仿宋_GB2312" w:cs="仿宋_GB2312"/>
                <w:kern w:val="0"/>
                <w:szCs w:val="21"/>
              </w:rPr>
            </w:pPr>
          </w:p>
        </w:tc>
        <w:tc>
          <w:tcPr>
            <w:tcW w:w="2590" w:type="dxa"/>
            <w:vMerge w:val="continue"/>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tcPr>
          <w:p>
            <w:pPr>
              <w:adjustRightInd w:val="0"/>
              <w:snapToGrid w:val="0"/>
              <w:jc w:val="center"/>
              <w:rPr>
                <w:rFonts w:ascii="仿宋_GB2312" w:hAnsi="仿宋_GB2312" w:eastAsia="仿宋_GB2312" w:cs="仿宋_GB2312"/>
                <w:kern w:val="0"/>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风味酸乳</w:t>
            </w:r>
          </w:p>
        </w:tc>
        <w:tc>
          <w:tcPr>
            <w:tcW w:w="2425" w:type="dxa"/>
            <w:vMerge w:val="continue"/>
            <w:vAlign w:val="center"/>
          </w:tcPr>
          <w:p>
            <w:pPr>
              <w:widowControl/>
              <w:adjustRightInd w:val="0"/>
              <w:snapToGrid w:val="0"/>
              <w:spacing w:line="240" w:lineRule="auto"/>
              <w:rPr>
                <w:rFonts w:ascii="仿宋_GB2312" w:hAnsi="仿宋_GB2312" w:eastAsia="仿宋_GB2312" w:cs="仿宋_GB2312"/>
                <w:kern w:val="0"/>
                <w:szCs w:val="21"/>
              </w:rPr>
            </w:pPr>
          </w:p>
        </w:tc>
        <w:tc>
          <w:tcPr>
            <w:tcW w:w="2590" w:type="dxa"/>
            <w:vMerge w:val="continue"/>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highlight w:val="yellow"/>
              </w:rPr>
            </w:pPr>
            <w:r>
              <w:rPr>
                <w:rFonts w:hint="eastAsia" w:ascii="仿宋_GB2312" w:hAnsi="仿宋_GB2312" w:eastAsia="仿宋_GB2312" w:cs="仿宋_GB2312"/>
                <w:szCs w:val="21"/>
              </w:rPr>
              <w:t>乳粉</w:t>
            </w:r>
          </w:p>
        </w:tc>
        <w:tc>
          <w:tcPr>
            <w:tcW w:w="1207" w:type="dxa"/>
            <w:gridSpan w:val="2"/>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1.乳粉</w:t>
            </w: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szCs w:val="21"/>
              </w:rPr>
              <w:t>全脂乳粉</w:t>
            </w:r>
          </w:p>
        </w:tc>
        <w:tc>
          <w:tcPr>
            <w:tcW w:w="2425"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szCs w:val="21"/>
              </w:rPr>
              <w:t>《食品安全国家标准 乳粉》（GB 19644）</w:t>
            </w:r>
          </w:p>
        </w:tc>
        <w:tc>
          <w:tcPr>
            <w:tcW w:w="2590" w:type="dxa"/>
            <w:vMerge w:val="restart"/>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szCs w:val="21"/>
              </w:rPr>
              <w:t>脱脂乳粉</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c>
          <w:tcPr>
            <w:tcW w:w="2590" w:type="dxa"/>
            <w:vMerge w:val="continue"/>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szCs w:val="21"/>
              </w:rPr>
              <w:t>部分脱脂乳粉</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c>
          <w:tcPr>
            <w:tcW w:w="2590" w:type="dxa"/>
            <w:vMerge w:val="continue"/>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1" w:type="dxa"/>
            <w:vMerge w:val="continue"/>
            <w:vAlign w:val="center"/>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highlight w:val="yellow"/>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2.调制乳粉</w:t>
            </w:r>
          </w:p>
        </w:tc>
        <w:tc>
          <w:tcPr>
            <w:tcW w:w="2425" w:type="dxa"/>
            <w:vMerge w:val="continue"/>
            <w:vAlign w:val="center"/>
          </w:tcPr>
          <w:p>
            <w:pPr>
              <w:widowControl/>
              <w:adjustRightInd w:val="0"/>
              <w:snapToGrid w:val="0"/>
              <w:spacing w:line="240" w:lineRule="auto"/>
              <w:rPr>
                <w:rFonts w:ascii="仿宋_GB2312" w:hAnsi="仿宋_GB2312" w:eastAsia="仿宋_GB2312" w:cs="仿宋_GB2312"/>
                <w:szCs w:val="21"/>
              </w:rPr>
            </w:pPr>
          </w:p>
        </w:tc>
        <w:tc>
          <w:tcPr>
            <w:tcW w:w="2590" w:type="dxa"/>
            <w:vAlign w:val="center"/>
          </w:tcPr>
          <w:p>
            <w:pPr>
              <w:widowControl/>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widowControl/>
              <w:adjustRightInd w:val="0"/>
              <w:snapToGrid w:val="0"/>
              <w:spacing w:line="240" w:lineRule="auto"/>
              <w:jc w:val="center"/>
              <w:rPr>
                <w:rFonts w:ascii="仿宋_GB2312" w:hAnsi="仿宋_GB2312" w:eastAsia="仿宋_GB2312" w:cs="仿宋_GB2312"/>
                <w:kern w:val="0"/>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3.脱盐乳清粉、非脱盐乳清粉</w:t>
            </w:r>
          </w:p>
        </w:tc>
        <w:tc>
          <w:tcPr>
            <w:tcW w:w="2425"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乳清粉和乳清蛋白粉》（GB 11674）</w:t>
            </w:r>
          </w:p>
        </w:tc>
        <w:tc>
          <w:tcPr>
            <w:tcW w:w="2590"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widowControl/>
              <w:adjustRightInd w:val="0"/>
              <w:snapToGrid w:val="0"/>
              <w:spacing w:line="240" w:lineRule="auto"/>
              <w:jc w:val="center"/>
              <w:rPr>
                <w:rFonts w:ascii="仿宋_GB2312" w:hAnsi="仿宋_GB2312" w:eastAsia="仿宋_GB2312" w:cs="仿宋_GB2312"/>
                <w:kern w:val="0"/>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4.乳清蛋白粉</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91" w:type="dxa"/>
            <w:vMerge w:val="continue"/>
          </w:tcPr>
          <w:p>
            <w:pPr>
              <w:tabs>
                <w:tab w:val="left" w:pos="0"/>
                <w:tab w:val="center" w:pos="4153"/>
                <w:tab w:val="right" w:pos="8306"/>
              </w:tabs>
              <w:adjustRightInd w:val="0"/>
              <w:snapToGrid w:val="0"/>
              <w:ind w:right="73"/>
              <w:jc w:val="center"/>
              <w:rPr>
                <w:rFonts w:ascii="仿宋_GB2312" w:hAnsi="仿宋_GB2312" w:eastAsia="仿宋_GB2312" w:cs="仿宋_GB2312"/>
                <w:kern w:val="0"/>
                <w:szCs w:val="21"/>
              </w:rPr>
            </w:pPr>
          </w:p>
        </w:tc>
        <w:tc>
          <w:tcPr>
            <w:tcW w:w="775" w:type="dxa"/>
            <w:vMerge w:val="continue"/>
            <w:vAlign w:val="center"/>
          </w:tcPr>
          <w:p>
            <w:pPr>
              <w:widowControl/>
              <w:adjustRightInd w:val="0"/>
              <w:snapToGrid w:val="0"/>
              <w:spacing w:line="240" w:lineRule="auto"/>
              <w:jc w:val="center"/>
              <w:rPr>
                <w:rFonts w:ascii="仿宋_GB2312" w:hAnsi="仿宋_GB2312" w:eastAsia="仿宋_GB2312" w:cs="仿宋_GB2312"/>
                <w:kern w:val="0"/>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5.加油乳清粉</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暂无食品安全国家标准，参照企业标准。</w:t>
            </w:r>
          </w:p>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加油乳清粉：</w:t>
            </w:r>
            <w:r>
              <w:rPr>
                <w:rFonts w:hint="eastAsia" w:ascii="仿宋_GB2312" w:hAnsi="仿宋_GB2312" w:eastAsia="仿宋_GB2312" w:cs="仿宋_GB2312"/>
                <w:szCs w:val="21"/>
              </w:rPr>
              <w:t>以乳清或乳清粉为原料,添加植物油或乳脂肪类（稀奶油、奶油或无水奶油等）及乳糖、乳清蛋白粉或牛奶蛋白类,添加或不添加食品添加剂和营养强化剂加工制成</w:t>
            </w: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91"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p>
        </w:tc>
        <w:tc>
          <w:tcPr>
            <w:tcW w:w="775" w:type="dxa"/>
            <w:vMerge w:val="restart"/>
            <w:vAlign w:val="center"/>
          </w:tcPr>
          <w:p>
            <w:pPr>
              <w:adjustRightInd w:val="0"/>
              <w:snapToGrid w:val="0"/>
              <w:spacing w:beforeLines="7" w:afterLines="7" w:line="240" w:lineRule="auto"/>
              <w:jc w:val="center"/>
              <w:rPr>
                <w:rFonts w:ascii="仿宋_GB2312" w:hAnsi="仿宋_GB2312" w:eastAsia="仿宋_GB2312" w:cs="仿宋_GB2312"/>
                <w:kern w:val="0"/>
                <w:szCs w:val="21"/>
              </w:rPr>
            </w:pPr>
            <w:r>
              <w:rPr>
                <w:rFonts w:hint="eastAsia" w:ascii="仿宋_GB2312" w:hAnsi="仿宋_GB2312" w:eastAsia="仿宋_GB2312" w:cs="仿宋_GB2312"/>
                <w:szCs w:val="21"/>
              </w:rPr>
              <w:t>其他乳制品</w:t>
            </w:r>
          </w:p>
        </w:tc>
        <w:tc>
          <w:tcPr>
            <w:tcW w:w="1207" w:type="dxa"/>
            <w:gridSpan w:val="2"/>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szCs w:val="21"/>
              </w:rPr>
              <w:t>1.浓缩乳制品</w:t>
            </w: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szCs w:val="21"/>
              </w:rPr>
              <w:t>淡炼乳</w:t>
            </w:r>
          </w:p>
        </w:tc>
        <w:tc>
          <w:tcPr>
            <w:tcW w:w="2425"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浓缩乳制品》（GB 13102）</w:t>
            </w:r>
          </w:p>
        </w:tc>
        <w:tc>
          <w:tcPr>
            <w:tcW w:w="2590"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调制炼乳分为调制淡炼乳和调制加糖炼乳（调制甜炼乳）。</w:t>
            </w:r>
          </w:p>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待《食品安全国家标准 浓缩乳制品》发布企实施。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91"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kern w:val="0"/>
                <w:szCs w:val="21"/>
              </w:rPr>
              <w:t>加糖炼乳</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91"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szCs w:val="21"/>
              </w:rPr>
              <w:t>调制炼乳</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1"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szCs w:val="21"/>
              </w:rPr>
              <w:t>食品工业用浓缩乳</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jc w:val="center"/>
              <w:rPr>
                <w:rFonts w:ascii="仿宋_GB2312" w:hAnsi="仿宋_GB2312" w:eastAsia="仿宋_GB2312" w:cs="仿宋_GB2312"/>
                <w:kern w:val="0"/>
                <w:szCs w:val="21"/>
              </w:rPr>
            </w:pPr>
          </w:p>
        </w:tc>
        <w:tc>
          <w:tcPr>
            <w:tcW w:w="2672" w:type="dxa"/>
            <w:gridSpan w:val="3"/>
            <w:vAlign w:val="center"/>
          </w:tcPr>
          <w:p>
            <w:pPr>
              <w:widowControl/>
              <w:adjustRightInd w:val="0"/>
              <w:snapToGrid w:val="0"/>
              <w:spacing w:line="240" w:lineRule="auto"/>
              <w:rPr>
                <w:rFonts w:ascii="仿宋_GB2312" w:hAnsi="仿宋_GB2312" w:eastAsia="仿宋_GB2312" w:cs="仿宋_GB2312"/>
                <w:kern w:val="0"/>
                <w:szCs w:val="21"/>
              </w:rPr>
            </w:pPr>
            <w:r>
              <w:rPr>
                <w:rFonts w:hint="eastAsia" w:ascii="仿宋_GB2312" w:hAnsi="仿宋_GB2312" w:eastAsia="仿宋_GB2312" w:cs="仿宋_GB2312"/>
                <w:kern w:val="0"/>
                <w:szCs w:val="21"/>
              </w:rPr>
              <w:t>2.奶油</w:t>
            </w:r>
          </w:p>
        </w:tc>
        <w:tc>
          <w:tcPr>
            <w:tcW w:w="2425"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szCs w:val="21"/>
              </w:rPr>
              <w:t>《食品安全国家标准 稀奶油、奶油和无水奶油》</w:t>
            </w:r>
            <w:r>
              <w:rPr>
                <w:rFonts w:hint="eastAsia" w:ascii="仿宋_GB2312" w:hAnsi="仿宋_GB2312" w:eastAsia="仿宋_GB2312" w:cs="仿宋_GB2312"/>
                <w:kern w:val="0"/>
                <w:szCs w:val="21"/>
              </w:rPr>
              <w:t>（GB 19646）</w:t>
            </w:r>
          </w:p>
        </w:tc>
        <w:tc>
          <w:tcPr>
            <w:tcW w:w="2590"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jc w:val="center"/>
              <w:rPr>
                <w:rFonts w:ascii="仿宋_GB2312" w:hAnsi="仿宋_GB2312" w:eastAsia="仿宋_GB2312" w:cs="仿宋_GB2312"/>
                <w:kern w:val="0"/>
                <w:szCs w:val="21"/>
              </w:rPr>
            </w:pPr>
          </w:p>
        </w:tc>
        <w:tc>
          <w:tcPr>
            <w:tcW w:w="2672" w:type="dxa"/>
            <w:gridSpan w:val="3"/>
            <w:vAlign w:val="center"/>
          </w:tcPr>
          <w:p>
            <w:pPr>
              <w:widowControl/>
              <w:adjustRightInd w:val="0"/>
              <w:snapToGrid w:val="0"/>
              <w:spacing w:line="240" w:lineRule="auto"/>
              <w:rPr>
                <w:rFonts w:ascii="仿宋_GB2312" w:hAnsi="仿宋_GB2312" w:eastAsia="仿宋_GB2312" w:cs="仿宋_GB2312"/>
                <w:kern w:val="0"/>
                <w:szCs w:val="21"/>
              </w:rPr>
            </w:pPr>
            <w:r>
              <w:rPr>
                <w:rFonts w:hint="eastAsia" w:ascii="仿宋_GB2312" w:hAnsi="仿宋_GB2312" w:eastAsia="仿宋_GB2312" w:cs="仿宋_GB2312"/>
                <w:szCs w:val="21"/>
              </w:rPr>
              <w:t>3.稀奶油</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jc w:val="center"/>
              <w:rPr>
                <w:rFonts w:ascii="仿宋_GB2312" w:hAnsi="仿宋_GB2312" w:eastAsia="仿宋_GB2312" w:cs="仿宋_GB2312"/>
                <w:kern w:val="0"/>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kern w:val="0"/>
                <w:szCs w:val="21"/>
              </w:rPr>
              <w:t>4.无水奶油</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jc w:val="center"/>
              <w:rPr>
                <w:rFonts w:ascii="仿宋_GB2312" w:hAnsi="仿宋_GB2312" w:eastAsia="仿宋_GB2312" w:cs="仿宋_GB2312"/>
                <w:kern w:val="0"/>
                <w:szCs w:val="21"/>
              </w:rPr>
            </w:pPr>
          </w:p>
        </w:tc>
        <w:tc>
          <w:tcPr>
            <w:tcW w:w="1094"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5.干酪</w:t>
            </w:r>
          </w:p>
        </w:tc>
        <w:tc>
          <w:tcPr>
            <w:tcW w:w="1578" w:type="dxa"/>
            <w:gridSpan w:val="2"/>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成熟干酪</w:t>
            </w:r>
          </w:p>
        </w:tc>
        <w:tc>
          <w:tcPr>
            <w:tcW w:w="2425"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干酪》（GB 5420）</w:t>
            </w:r>
          </w:p>
        </w:tc>
        <w:tc>
          <w:tcPr>
            <w:tcW w:w="2590" w:type="dxa"/>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jc w:val="center"/>
              <w:rPr>
                <w:rFonts w:ascii="仿宋_GB2312" w:hAnsi="仿宋_GB2312" w:eastAsia="仿宋_GB2312" w:cs="仿宋_GB2312"/>
                <w:kern w:val="0"/>
                <w:szCs w:val="21"/>
              </w:rPr>
            </w:pPr>
          </w:p>
        </w:tc>
        <w:tc>
          <w:tcPr>
            <w:tcW w:w="1094"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578" w:type="dxa"/>
            <w:gridSpan w:val="2"/>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未成熟干酪</w:t>
            </w:r>
          </w:p>
        </w:tc>
        <w:tc>
          <w:tcPr>
            <w:tcW w:w="2425"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2590" w:type="dxa"/>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jc w:val="center"/>
              <w:rPr>
                <w:rFonts w:ascii="仿宋_GB2312" w:hAnsi="仿宋_GB2312" w:eastAsia="仿宋_GB2312" w:cs="仿宋_GB2312"/>
                <w:szCs w:val="21"/>
              </w:rPr>
            </w:pPr>
          </w:p>
        </w:tc>
        <w:tc>
          <w:tcPr>
            <w:tcW w:w="2672" w:type="dxa"/>
            <w:gridSpan w:val="3"/>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6.再制干酪</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再制干酪》（GB 25192）</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根据干物质含量及脂肪在干物质中的含量将该类产品分为5个等级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line="240" w:lineRule="auto"/>
              <w:jc w:val="center"/>
              <w:rPr>
                <w:rFonts w:ascii="仿宋_GB2312" w:hAnsi="仿宋_GB2312" w:eastAsia="仿宋_GB2312" w:cs="仿宋_GB2312"/>
                <w:kern w:val="0"/>
                <w:szCs w:val="21"/>
              </w:rPr>
            </w:pPr>
          </w:p>
        </w:tc>
        <w:tc>
          <w:tcPr>
            <w:tcW w:w="1207" w:type="dxa"/>
            <w:gridSpan w:val="2"/>
            <w:vMerge w:val="restart"/>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7.特色乳制品</w:t>
            </w: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地方特色乳制品</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地方特色乳制品执行食品安全地方标准或企业标准</w:t>
            </w:r>
          </w:p>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地方特色乳制品：具有地方或民族特色的乳制品</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如：地方传统乳制品：奶皮子、奶豆腐、楚拉、嚼克、策格、毕希拉格等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line="240" w:lineRule="auto"/>
              <w:jc w:val="center"/>
              <w:rPr>
                <w:rFonts w:ascii="仿宋_GB2312" w:hAnsi="仿宋_GB2312" w:eastAsia="仿宋_GB2312" w:cs="仿宋_GB2312"/>
                <w:kern w:val="0"/>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szCs w:val="21"/>
              </w:rPr>
              <w:t>脱脂牛(羊)初乳粉</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脱脂牛（羊）初乳粉暂无食品安全国家标准，参照企业标准</w:t>
            </w:r>
          </w:p>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脱脂牛（羊）初乳粉：从正常饲养的、无传染病和乳房炎的健康母牛(羊)分娩后72小时内所挤出的乳汁加工制成的粉状产品</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91" w:type="dxa"/>
            <w:vMerge w:val="continue"/>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vAlign w:val="center"/>
          </w:tcPr>
          <w:p>
            <w:pPr>
              <w:adjustRightInd w:val="0"/>
              <w:snapToGrid w:val="0"/>
              <w:spacing w:beforeLines="7" w:afterLines="7" w:line="240" w:lineRule="auto"/>
              <w:jc w:val="center"/>
              <w:rPr>
                <w:rFonts w:ascii="仿宋_GB2312" w:hAnsi="仿宋_GB2312" w:eastAsia="仿宋_GB2312" w:cs="仿宋_GB2312"/>
                <w:kern w:val="0"/>
                <w:szCs w:val="21"/>
              </w:rPr>
            </w:pPr>
          </w:p>
        </w:tc>
        <w:tc>
          <w:tcPr>
            <w:tcW w:w="1207" w:type="dxa"/>
            <w:gridSpan w:val="2"/>
            <w:vMerge w:val="continue"/>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szCs w:val="21"/>
              </w:rPr>
            </w:pPr>
            <w:r>
              <w:rPr>
                <w:rFonts w:hint="eastAsia" w:ascii="仿宋_GB2312" w:hAnsi="仿宋_GB2312" w:eastAsia="仿宋_GB2312" w:cs="仿宋_GB2312"/>
                <w:kern w:val="0"/>
                <w:szCs w:val="21"/>
              </w:rPr>
              <w:t>脱脂牛(羊)初乳</w:t>
            </w:r>
          </w:p>
        </w:tc>
        <w:tc>
          <w:tcPr>
            <w:tcW w:w="2425"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脱脂牛（羊）初乳暂无食品安全国家标准，参照企业标准</w:t>
            </w:r>
          </w:p>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脱脂牛（羊）初乳：从正常饲养的、无传染病和乳房炎的健康母牛(羊)分娩后72小时内所挤出的乳汁经脱脂、除菌等工艺加工制成的液体产品</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1" w:type="dxa"/>
            <w:vMerge w:val="continue"/>
            <w:tcBorders>
              <w:bottom w:val="nil"/>
            </w:tcBorders>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vMerge w:val="continue"/>
            <w:tcBorders>
              <w:bottom w:val="nil"/>
            </w:tcBorders>
            <w:vAlign w:val="center"/>
          </w:tcPr>
          <w:p>
            <w:pPr>
              <w:adjustRightInd w:val="0"/>
              <w:snapToGrid w:val="0"/>
              <w:spacing w:beforeLines="7" w:afterLines="7" w:line="240" w:lineRule="auto"/>
              <w:jc w:val="center"/>
              <w:rPr>
                <w:rFonts w:ascii="仿宋_GB2312" w:hAnsi="仿宋_GB2312" w:eastAsia="仿宋_GB2312" w:cs="仿宋_GB2312"/>
                <w:kern w:val="0"/>
                <w:szCs w:val="21"/>
              </w:rPr>
            </w:pPr>
          </w:p>
        </w:tc>
        <w:tc>
          <w:tcPr>
            <w:tcW w:w="1207" w:type="dxa"/>
            <w:gridSpan w:val="2"/>
            <w:vMerge w:val="continue"/>
            <w:tcBorders>
              <w:bottom w:val="nil"/>
            </w:tcBorders>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ightChars="0"/>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酪蛋白</w:t>
            </w:r>
          </w:p>
        </w:tc>
        <w:tc>
          <w:tcPr>
            <w:tcW w:w="2425" w:type="dxa"/>
            <w:vAlign w:val="center"/>
          </w:tcPr>
          <w:p>
            <w:pPr>
              <w:tabs>
                <w:tab w:val="left" w:pos="0"/>
                <w:tab w:val="center" w:pos="4153"/>
                <w:tab w:val="right" w:pos="8306"/>
              </w:tabs>
              <w:adjustRightInd w:val="0"/>
              <w:snapToGrid w:val="0"/>
              <w:spacing w:line="240" w:lineRule="auto"/>
              <w:ind w:right="73" w:rightChars="0"/>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《食品安全国家标准 酪蛋白》（GB 31638）</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1" w:type="dxa"/>
            <w:tcBorders>
              <w:top w:val="nil"/>
              <w:bottom w:val="nil"/>
            </w:tcBorders>
          </w:tcPr>
          <w:p>
            <w:pPr>
              <w:widowControl/>
              <w:adjustRightInd w:val="0"/>
              <w:snapToGrid w:val="0"/>
              <w:spacing w:line="240" w:lineRule="auto"/>
              <w:jc w:val="center"/>
              <w:rPr>
                <w:rFonts w:ascii="仿宋_GB2312" w:hAnsi="仿宋_GB2312" w:eastAsia="仿宋_GB2312" w:cs="仿宋_GB2312"/>
                <w:kern w:val="0"/>
                <w:szCs w:val="21"/>
              </w:rPr>
            </w:pPr>
          </w:p>
        </w:tc>
        <w:tc>
          <w:tcPr>
            <w:tcW w:w="775" w:type="dxa"/>
            <w:tcBorders>
              <w:top w:val="nil"/>
              <w:bottom w:val="nil"/>
            </w:tcBorders>
            <w:vAlign w:val="center"/>
          </w:tcPr>
          <w:p>
            <w:pPr>
              <w:adjustRightInd w:val="0"/>
              <w:snapToGrid w:val="0"/>
              <w:spacing w:beforeLines="7" w:afterLines="7" w:line="240" w:lineRule="auto"/>
              <w:jc w:val="center"/>
              <w:rPr>
                <w:rFonts w:ascii="仿宋_GB2312" w:hAnsi="仿宋_GB2312" w:eastAsia="仿宋_GB2312" w:cs="仿宋_GB2312"/>
                <w:kern w:val="0"/>
                <w:szCs w:val="21"/>
              </w:rPr>
            </w:pPr>
          </w:p>
        </w:tc>
        <w:tc>
          <w:tcPr>
            <w:tcW w:w="1207" w:type="dxa"/>
            <w:gridSpan w:val="2"/>
            <w:tcBorders>
              <w:top w:val="nil"/>
              <w:bottom w:val="nil"/>
            </w:tcBorders>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c>
          <w:tcPr>
            <w:tcW w:w="1465" w:type="dxa"/>
            <w:vAlign w:val="center"/>
          </w:tcPr>
          <w:p>
            <w:pPr>
              <w:tabs>
                <w:tab w:val="left" w:pos="0"/>
                <w:tab w:val="center" w:pos="4153"/>
                <w:tab w:val="right" w:pos="8306"/>
              </w:tabs>
              <w:adjustRightInd w:val="0"/>
              <w:snapToGrid w:val="0"/>
              <w:spacing w:line="240" w:lineRule="auto"/>
              <w:ind w:right="73" w:rightChars="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乳糖</w:t>
            </w:r>
          </w:p>
        </w:tc>
        <w:tc>
          <w:tcPr>
            <w:tcW w:w="2425" w:type="dxa"/>
            <w:vAlign w:val="center"/>
          </w:tcPr>
          <w:p>
            <w:pPr>
              <w:tabs>
                <w:tab w:val="left" w:pos="0"/>
                <w:tab w:val="center" w:pos="4153"/>
                <w:tab w:val="right" w:pos="8306"/>
              </w:tabs>
              <w:adjustRightInd w:val="0"/>
              <w:snapToGrid w:val="0"/>
              <w:spacing w:line="240" w:lineRule="auto"/>
              <w:ind w:right="73" w:rightChars="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《食品安全国家标准 乳糖》（GB 25595）</w:t>
            </w:r>
          </w:p>
        </w:tc>
        <w:tc>
          <w:tcPr>
            <w:tcW w:w="2590" w:type="dxa"/>
            <w:vAlign w:val="center"/>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53" w:type="dxa"/>
            <w:gridSpan w:val="7"/>
            <w:tcBorders>
              <w:top w:val="single" w:color="auto" w:sz="4" w:space="0"/>
            </w:tcBorders>
          </w:tcPr>
          <w:p>
            <w:pPr>
              <w:tabs>
                <w:tab w:val="left" w:pos="0"/>
                <w:tab w:val="center" w:pos="4153"/>
                <w:tab w:val="right" w:pos="8306"/>
              </w:tabs>
              <w:adjustRightInd w:val="0"/>
              <w:snapToGrid w:val="0"/>
              <w:spacing w:line="240" w:lineRule="auto"/>
              <w:ind w:right="73"/>
              <w:rPr>
                <w:rFonts w:ascii="仿宋_GB2312" w:hAnsi="仿宋_GB2312" w:eastAsia="仿宋_GB2312" w:cs="仿宋_GB2312"/>
                <w:kern w:val="0"/>
                <w:szCs w:val="21"/>
              </w:rPr>
            </w:pPr>
            <w:r>
              <w:rPr>
                <w:rFonts w:hint="eastAsia" w:ascii="仿宋_GB2312" w:hAnsi="仿宋_GB2312" w:eastAsia="仿宋_GB2312" w:cs="仿宋_GB2312"/>
                <w:kern w:val="0"/>
                <w:szCs w:val="21"/>
              </w:rPr>
              <w:t>a:食品定义参照相应食品安全国家标准。</w:t>
            </w:r>
          </w:p>
        </w:tc>
      </w:tr>
    </w:tbl>
    <w:p>
      <w:pPr>
        <w:tabs>
          <w:tab w:val="left" w:pos="8820"/>
        </w:tabs>
        <w:adjustRightInd w:val="0"/>
        <w:snapToGrid w:val="0"/>
        <w:spacing w:line="560" w:lineRule="exact"/>
        <w:ind w:firstLine="640" w:firstLineChars="200"/>
        <w:rPr>
          <w:rFonts w:ascii="Times New Roman" w:eastAsia="仿宋_GB2312" w:hAnsiTheme="minorEastAsia"/>
          <w:b/>
          <w:sz w:val="32"/>
          <w:szCs w:val="32"/>
        </w:rPr>
      </w:pPr>
      <w:r>
        <w:rPr>
          <w:rFonts w:hint="eastAsia" w:ascii="黑体" w:hAnsi="黑体" w:eastAsia="黑体" w:cs="黑体"/>
          <w:bCs/>
          <w:kern w:val="0"/>
          <w:sz w:val="32"/>
          <w:szCs w:val="32"/>
        </w:rPr>
        <w:t xml:space="preserve">第三条 </w:t>
      </w:r>
      <w:r>
        <w:rPr>
          <w:rFonts w:hint="eastAsia" w:ascii="仿宋_GB2312" w:hAnsi="仿宋_GB2312" w:eastAsia="仿宋_GB2312" w:cs="仿宋_GB2312"/>
          <w:bCs/>
          <w:color w:val="000000"/>
          <w:sz w:val="32"/>
          <w:szCs w:val="32"/>
        </w:rPr>
        <w:t>企业仅有包装场地、工序、设备或企业具有完整的生产设备、生产工艺条件，但以包装工序作为生产开始的，均属于分装行为，不予生产许可。</w:t>
      </w:r>
    </w:p>
    <w:p>
      <w:pPr>
        <w:spacing w:line="560" w:lineRule="exact"/>
        <w:ind w:firstLine="160" w:firstLineChars="50"/>
        <w:rPr>
          <w:rFonts w:ascii="Times New Roman" w:eastAsia="仿宋_GB2312" w:hAnsiTheme="minorEastAsia"/>
          <w:b/>
          <w:kern w:val="0"/>
          <w:sz w:val="32"/>
          <w:szCs w:val="32"/>
        </w:rPr>
      </w:pPr>
      <w:r>
        <w:rPr>
          <w:rFonts w:hint="eastAsia" w:ascii="Times New Roman" w:hAnsi="Times New Roman" w:eastAsia="仿宋_GB2312"/>
          <w:kern w:val="0"/>
          <w:sz w:val="32"/>
          <w:szCs w:val="32"/>
        </w:rPr>
        <w:t xml:space="preserve">  </w:t>
      </w:r>
      <w:r>
        <w:rPr>
          <w:rFonts w:hint="eastAsia" w:ascii="Times New Roman" w:hAnsi="Times New Roman" w:eastAsia="仿宋_GB2312"/>
          <w:b/>
          <w:kern w:val="0"/>
          <w:sz w:val="32"/>
          <w:szCs w:val="32"/>
        </w:rPr>
        <w:t xml:space="preserve"> </w:t>
      </w:r>
      <w:r>
        <w:rPr>
          <w:rFonts w:hint="eastAsia" w:ascii="黑体" w:hAnsi="黑体" w:eastAsia="黑体" w:cs="黑体"/>
          <w:bCs/>
          <w:kern w:val="0"/>
          <w:sz w:val="32"/>
          <w:szCs w:val="32"/>
        </w:rPr>
        <w:t xml:space="preserve">第四条 </w:t>
      </w:r>
      <w:r>
        <w:rPr>
          <w:rFonts w:hint="eastAsia" w:ascii="Times New Roman" w:eastAsia="仿宋_GB2312" w:hAnsiTheme="minorEastAsia"/>
          <w:bCs/>
          <w:kern w:val="0"/>
          <w:sz w:val="32"/>
          <w:szCs w:val="32"/>
        </w:rPr>
        <w:t>本细则中引用的文件、标准通过引用成为本细则的内容。凡是不注日期的引用文件、标准，其最新版本（包括所有的修改单）适用于本细则。</w:t>
      </w:r>
    </w:p>
    <w:p>
      <w:pPr>
        <w:pStyle w:val="3"/>
        <w:adjustRightInd w:val="0"/>
        <w:snapToGrid w:val="0"/>
        <w:spacing w:line="560" w:lineRule="exact"/>
        <w:rPr>
          <w:rFonts w:ascii="黑体" w:hAnsi="黑体" w:eastAsia="黑体" w:cs="黑体"/>
          <w:sz w:val="32"/>
          <w:szCs w:val="32"/>
        </w:rPr>
      </w:pPr>
      <w:bookmarkStart w:id="2" w:name="_Toc493510000"/>
      <w:r>
        <w:rPr>
          <w:rFonts w:hint="eastAsia" w:ascii="黑体" w:hAnsi="黑体" w:eastAsia="黑体" w:cs="黑体"/>
          <w:sz w:val="32"/>
          <w:szCs w:val="32"/>
        </w:rPr>
        <w:t>第二章  生产场所</w:t>
      </w:r>
      <w:bookmarkEnd w:id="2"/>
    </w:p>
    <w:p>
      <w:pPr>
        <w:spacing w:line="560" w:lineRule="exact"/>
        <w:rPr>
          <w:rFonts w:ascii="仿宋_GB2312" w:hAnsi="仿宋_GB2312" w:eastAsia="仿宋_GB2312" w:cs="仿宋_GB2312"/>
          <w:bCs/>
          <w:color w:val="000000"/>
          <w:sz w:val="32"/>
          <w:szCs w:val="32"/>
        </w:rPr>
      </w:pPr>
      <w:r>
        <w:rPr>
          <w:rFonts w:hint="eastAsia" w:ascii="华文中宋" w:hAnsi="华文中宋" w:eastAsia="华文中宋" w:cs="Times New Roman"/>
          <w:kern w:val="0"/>
          <w:sz w:val="32"/>
          <w:szCs w:val="32"/>
        </w:rPr>
        <w:t xml:space="preserve">   </w:t>
      </w:r>
      <w:r>
        <w:rPr>
          <w:rFonts w:hint="eastAsia" w:ascii="黑体" w:hAnsi="黑体" w:eastAsia="黑体" w:cs="黑体"/>
          <w:bCs/>
          <w:kern w:val="0"/>
          <w:sz w:val="32"/>
          <w:szCs w:val="32"/>
        </w:rPr>
        <w:t xml:space="preserve"> 第五条 </w:t>
      </w:r>
      <w:r>
        <w:rPr>
          <w:rFonts w:hint="eastAsia" w:ascii="仿宋_GB2312" w:hAnsi="仿宋_GB2312" w:eastAsia="仿宋_GB2312" w:cs="仿宋_GB2312"/>
          <w:bCs/>
          <w:kern w:val="0"/>
          <w:sz w:val="32"/>
          <w:szCs w:val="32"/>
        </w:rPr>
        <w:t>生产企业厂区选址和设计应当符合《食品安全国家标准 食品生产通用卫生规范》（GB 14881）和《食品安全国家标准 乳制品良好生产规范》（GB 12693）的相关规定，</w:t>
      </w:r>
      <w:r>
        <w:rPr>
          <w:rFonts w:hint="eastAsia" w:ascii="仿宋_GB2312" w:hAnsi="仿宋_GB2312" w:eastAsia="仿宋_GB2312" w:cs="仿宋_GB2312"/>
          <w:bCs/>
          <w:color w:val="000000"/>
          <w:sz w:val="32"/>
          <w:szCs w:val="32"/>
        </w:rPr>
        <w:t>应远离畜禽养殖场，</w:t>
      </w:r>
      <w:r>
        <w:rPr>
          <w:rFonts w:hint="eastAsia" w:ascii="仿宋_GB2312" w:hAnsi="仿宋_GB2312" w:eastAsia="仿宋_GB2312" w:cs="仿宋_GB2312"/>
          <w:bCs/>
          <w:kern w:val="0"/>
          <w:sz w:val="32"/>
          <w:szCs w:val="32"/>
        </w:rPr>
        <w:t>且</w:t>
      </w:r>
      <w:r>
        <w:rPr>
          <w:rFonts w:hint="eastAsia" w:ascii="仿宋_GB2312" w:hAnsi="仿宋_GB2312" w:eastAsia="仿宋_GB2312" w:cs="仿宋_GB2312"/>
          <w:bCs/>
          <w:color w:val="000000"/>
          <w:sz w:val="32"/>
          <w:szCs w:val="32"/>
        </w:rPr>
        <w:t>厂区内不得饲养动物，应有防止鼠害、虫蝇孳生的设施。各功能区域有适当的分离或分隔措施，减少环境对食品生产带来潜在的污染风险。厂区内道路应铺设硬质材料，空地应硬化或绿化，有排水系统，正常气候条件下不应有扬尘或积水等现象。</w:t>
      </w:r>
    </w:p>
    <w:p>
      <w:pPr>
        <w:tabs>
          <w:tab w:val="left" w:pos="8820"/>
        </w:tabs>
        <w:adjustRightInd w:val="0"/>
        <w:snapToGrid w:val="0"/>
        <w:spacing w:line="560" w:lineRule="exact"/>
        <w:ind w:firstLine="420"/>
        <w:rPr>
          <w:rFonts w:ascii="仿宋_GB2312" w:hAnsi="仿宋_GB2312" w:eastAsia="仿宋_GB2312" w:cs="仿宋_GB2312"/>
          <w:bCs/>
          <w:kern w:val="0"/>
          <w:sz w:val="32"/>
          <w:szCs w:val="32"/>
        </w:rPr>
      </w:pPr>
      <w:r>
        <w:rPr>
          <w:rFonts w:hint="eastAsia" w:ascii="黑体" w:hAnsi="黑体" w:eastAsia="黑体" w:cs="黑体"/>
          <w:bCs/>
          <w:kern w:val="0"/>
          <w:sz w:val="32"/>
          <w:szCs w:val="32"/>
        </w:rPr>
        <w:t xml:space="preserve">第六条 </w:t>
      </w:r>
      <w:r>
        <w:rPr>
          <w:rFonts w:hint="eastAsia" w:ascii="仿宋_GB2312" w:hAnsi="黑体" w:eastAsia="仿宋_GB2312" w:cs="黑体"/>
          <w:bCs/>
          <w:kern w:val="0"/>
          <w:sz w:val="32"/>
          <w:szCs w:val="32"/>
        </w:rPr>
        <w:t>应有</w:t>
      </w:r>
      <w:r>
        <w:rPr>
          <w:rFonts w:hint="eastAsia" w:ascii="仿宋_GB2312" w:hAnsi="仿宋_GB2312" w:eastAsia="仿宋_GB2312" w:cs="仿宋_GB2312"/>
          <w:bCs/>
          <w:kern w:val="0"/>
          <w:sz w:val="32"/>
          <w:szCs w:val="32"/>
        </w:rPr>
        <w:t>与企业生产能力相适应的生产车间和辅助生产设施，其设计应按工艺流程及卫生要求有序而合理布局。应根据工艺流程和防止交叉污染的要求设置生产作业区，按照洁净级别划分为清洁作业区、准清洁作业区和一般作业区，各作业区要有显著的标识加以区分。不同洁净级别作业区应进行有效的物理隔离，防止交叉污染。乳制品生产作业区划分见表2。</w:t>
      </w:r>
    </w:p>
    <w:p>
      <w:pPr>
        <w:adjustRightInd w:val="0"/>
        <w:snapToGrid w:val="0"/>
        <w:spacing w:line="560" w:lineRule="exact"/>
        <w:jc w:val="center"/>
        <w:rPr>
          <w:rFonts w:ascii="Times New Roman" w:hAnsi="Times New Roman" w:eastAsia="仿宋_GB2312"/>
          <w:kern w:val="0"/>
          <w:sz w:val="32"/>
          <w:szCs w:val="32"/>
        </w:rPr>
      </w:pPr>
      <w:r>
        <w:rPr>
          <w:rFonts w:hint="eastAsia" w:ascii="方正小标宋简体" w:hAnsi="方正小标宋简体" w:eastAsia="方正小标宋简体" w:cs="方正小标宋简体"/>
          <w:kern w:val="0"/>
          <w:sz w:val="32"/>
          <w:szCs w:val="32"/>
        </w:rPr>
        <w:t>表2 乳制品生产作业区划分</w:t>
      </w:r>
    </w:p>
    <w:tbl>
      <w:tblPr>
        <w:tblStyle w:val="29"/>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78"/>
        <w:gridCol w:w="2892"/>
        <w:gridCol w:w="2559"/>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黑体" w:hAnsi="黑体" w:eastAsia="黑体"/>
                <w:kern w:val="0"/>
                <w:szCs w:val="21"/>
              </w:rPr>
            </w:pPr>
            <w:r>
              <w:rPr>
                <w:rFonts w:hint="eastAsia" w:ascii="黑体" w:hAnsi="黑体" w:eastAsia="黑体"/>
                <w:kern w:val="0"/>
                <w:szCs w:val="21"/>
              </w:rPr>
              <w:t>序号</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黑体" w:hAnsi="黑体" w:eastAsia="黑体"/>
                <w:kern w:val="0"/>
                <w:szCs w:val="21"/>
              </w:rPr>
            </w:pPr>
            <w:r>
              <w:rPr>
                <w:rFonts w:hint="eastAsia" w:ascii="黑体" w:hAnsi="黑体" w:eastAsia="黑体"/>
                <w:kern w:val="0"/>
                <w:szCs w:val="21"/>
              </w:rPr>
              <w:t>产品类别</w:t>
            </w:r>
          </w:p>
        </w:tc>
        <w:tc>
          <w:tcPr>
            <w:tcW w:w="2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黑体" w:hAnsi="黑体" w:eastAsia="黑体"/>
                <w:kern w:val="0"/>
                <w:szCs w:val="21"/>
              </w:rPr>
            </w:pPr>
            <w:r>
              <w:rPr>
                <w:rFonts w:hint="eastAsia" w:ascii="黑体" w:hAnsi="黑体" w:eastAsia="黑体"/>
                <w:kern w:val="0"/>
                <w:szCs w:val="21"/>
              </w:rPr>
              <w:t>清洁作业区</w:t>
            </w:r>
          </w:p>
        </w:tc>
        <w:tc>
          <w:tcPr>
            <w:tcW w:w="2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黑体" w:hAnsi="黑体" w:eastAsia="黑体"/>
                <w:kern w:val="0"/>
                <w:szCs w:val="21"/>
              </w:rPr>
            </w:pPr>
            <w:r>
              <w:rPr>
                <w:rFonts w:hint="eastAsia" w:ascii="黑体" w:hAnsi="黑体" w:eastAsia="黑体"/>
                <w:kern w:val="0"/>
                <w:szCs w:val="21"/>
              </w:rPr>
              <w:t>准清洁作业区</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黑体" w:hAnsi="黑体" w:eastAsia="黑体"/>
                <w:kern w:val="0"/>
                <w:szCs w:val="21"/>
              </w:rPr>
            </w:pPr>
            <w:r>
              <w:rPr>
                <w:rFonts w:hint="eastAsia" w:ascii="黑体" w:hAnsi="黑体" w:eastAsia="黑体"/>
                <w:kern w:val="0"/>
                <w:szCs w:val="21"/>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spacing w:line="240" w:lineRule="auto"/>
              <w:jc w:val="center"/>
              <w:rPr>
                <w:rFonts w:ascii="仿宋_GB2312" w:hAnsi="仿宋_GB2312" w:eastAsia="仿宋_GB2312" w:cs="仿宋_GB2312"/>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液体乳</w:t>
            </w:r>
          </w:p>
        </w:tc>
        <w:tc>
          <w:tcPr>
            <w:tcW w:w="2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灌装车间（保持式灭菌工艺除外）</w:t>
            </w:r>
          </w:p>
        </w:tc>
        <w:tc>
          <w:tcPr>
            <w:tcW w:w="2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原料预处理车间（标准化间）、包材暂存间（区域）、杀菌间（区域）、搅拌型发酵乳发酵室、灌装车间（保持式灭菌工艺）、其他加工车间</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收奶间、原料仓库、凝固型发酵乳发酵室、包装材料仓库、外包装车间及成品仓库（需要时配备冷库或制冷设备）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spacing w:line="240" w:lineRule="auto"/>
              <w:jc w:val="center"/>
              <w:rPr>
                <w:rFonts w:ascii="仿宋_GB2312" w:hAnsi="仿宋_GB2312" w:eastAsia="仿宋_GB2312" w:cs="仿宋_GB2312"/>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乳粉湿</w:t>
            </w:r>
          </w:p>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法工艺</w:t>
            </w:r>
          </w:p>
        </w:tc>
        <w:tc>
          <w:tcPr>
            <w:tcW w:w="2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喷雾干燥后或流化床的出粉口区域、过程产品暂存间（区域）、内包材消毒后的暂存间（区域）（听装包装除外）、内包装车间</w:t>
            </w:r>
          </w:p>
        </w:tc>
        <w:tc>
          <w:tcPr>
            <w:tcW w:w="2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spacing w:val="-6"/>
                <w:kern w:val="0"/>
                <w:szCs w:val="21"/>
              </w:rPr>
            </w:pPr>
            <w:r>
              <w:rPr>
                <w:rFonts w:hint="eastAsia" w:ascii="仿宋_GB2312" w:hAnsi="仿宋_GB2312" w:eastAsia="仿宋_GB2312" w:cs="仿宋_GB2312"/>
                <w:spacing w:val="-6"/>
                <w:kern w:val="0"/>
                <w:szCs w:val="21"/>
              </w:rPr>
              <w:t>原辅料内包装清洁间、称量和配料间（区域）、</w:t>
            </w:r>
            <w:r>
              <w:rPr>
                <w:rFonts w:hint="eastAsia" w:ascii="仿宋_GB2312" w:hAnsi="仿宋_GB2312" w:eastAsia="仿宋_GB2312" w:cs="仿宋_GB2312"/>
                <w:kern w:val="0"/>
                <w:szCs w:val="21"/>
              </w:rPr>
              <w:t>理罐（听）间、</w:t>
            </w:r>
            <w:r>
              <w:rPr>
                <w:rFonts w:hint="eastAsia" w:ascii="仿宋_GB2312" w:hAnsi="仿宋_GB2312" w:eastAsia="仿宋_GB2312" w:cs="仿宋_GB2312"/>
                <w:spacing w:val="-6"/>
                <w:kern w:val="0"/>
                <w:szCs w:val="21"/>
              </w:rPr>
              <w:t>原辅料预处理车间、浓缩车间、喷雾干燥车间、包装材料拆外包清洁消毒间（区域）等</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收乳间、</w:t>
            </w:r>
            <w:r>
              <w:rPr>
                <w:rFonts w:hint="eastAsia" w:ascii="仿宋_GB2312" w:hAnsi="仿宋_GB2312" w:eastAsia="仿宋_GB2312" w:cs="仿宋_GB2312"/>
                <w:spacing w:val="-6"/>
                <w:kern w:val="0"/>
                <w:szCs w:val="21"/>
              </w:rPr>
              <w:t>原辅料外包装清洁和拆包间（区域）、</w:t>
            </w:r>
            <w:r>
              <w:rPr>
                <w:rFonts w:hint="eastAsia" w:ascii="仿宋_GB2312" w:hAnsi="仿宋_GB2312" w:eastAsia="仿宋_GB2312" w:cs="仿宋_GB2312"/>
                <w:kern w:val="0"/>
                <w:szCs w:val="21"/>
              </w:rPr>
              <w:t>外包装车间、包装材料仓库、原辅料及成品仓库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spacing w:line="240" w:lineRule="auto"/>
              <w:jc w:val="center"/>
              <w:rPr>
                <w:rFonts w:ascii="仿宋_GB2312" w:hAnsi="仿宋_GB2312" w:eastAsia="仿宋_GB2312" w:cs="仿宋_GB2312"/>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乳粉干</w:t>
            </w:r>
          </w:p>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法工艺</w:t>
            </w:r>
          </w:p>
        </w:tc>
        <w:tc>
          <w:tcPr>
            <w:tcW w:w="2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原辅料称量配料间、预混间（区域）、投料和混合区域、包材消毒后暂存间（区域）（听装包装除外）、过程产品暂存间（区域）、充填及内包装车间</w:t>
            </w:r>
          </w:p>
        </w:tc>
        <w:tc>
          <w:tcPr>
            <w:tcW w:w="2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spacing w:val="-6"/>
                <w:kern w:val="0"/>
                <w:szCs w:val="21"/>
              </w:rPr>
            </w:pPr>
            <w:r>
              <w:rPr>
                <w:rFonts w:hint="eastAsia" w:ascii="仿宋_GB2312" w:hAnsi="仿宋_GB2312" w:eastAsia="仿宋_GB2312" w:cs="仿宋_GB2312"/>
                <w:kern w:val="0"/>
                <w:szCs w:val="21"/>
              </w:rPr>
              <w:t>原辅料内包装清洁区域、隧道杀菌区域、包装材料拆外包清洁消毒间（区域）、理罐（听）间等。</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原辅料仓库、外包装清洁车间、外包装车间、包装材料仓库及成品仓库、原辅料外包装清洁和拆包间（区域）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adjustRightInd w:val="0"/>
              <w:snapToGrid w:val="0"/>
              <w:spacing w:line="240" w:lineRule="auto"/>
              <w:jc w:val="center"/>
              <w:rPr>
                <w:rFonts w:ascii="仿宋_GB2312" w:hAnsi="仿宋_GB2312" w:eastAsia="仿宋_GB2312" w:cs="仿宋_GB2312"/>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其他乳</w:t>
            </w:r>
          </w:p>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制品</w:t>
            </w:r>
          </w:p>
        </w:tc>
        <w:tc>
          <w:tcPr>
            <w:tcW w:w="2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包材暂存间（保持式灭菌工艺除外）、裸露待包装的半成品贮存、充填及内包装车间、食品工业用浓缩乳灌装区域等。</w:t>
            </w:r>
            <w:r>
              <w:rPr>
                <w:rFonts w:hint="eastAsia" w:ascii="仿宋_GB2312" w:hAnsi="仿宋_GB2312" w:eastAsia="仿宋_GB2312" w:cs="仿宋_GB2312"/>
                <w:color w:val="auto"/>
                <w:kern w:val="0"/>
                <w:szCs w:val="21"/>
              </w:rPr>
              <w:t>脱脂牛(羊)初乳粉冷冻干燥区域、低温干燥工艺生产脱脂牛(羊)初乳粉同乳粉湿法工艺、脱脂牛（羊）初乳同液体乳。</w:t>
            </w:r>
          </w:p>
        </w:tc>
        <w:tc>
          <w:tcPr>
            <w:tcW w:w="2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spacing w:val="-6"/>
                <w:kern w:val="0"/>
                <w:szCs w:val="21"/>
              </w:rPr>
            </w:pPr>
            <w:r>
              <w:rPr>
                <w:rFonts w:hint="eastAsia" w:ascii="仿宋_GB2312" w:hAnsi="仿宋_GB2312" w:eastAsia="仿宋_GB2312" w:cs="仿宋_GB2312"/>
                <w:kern w:val="0"/>
                <w:szCs w:val="21"/>
              </w:rPr>
              <w:t>原料预处理、配料及混合车间、原辅料内包装清洁区域、包材暂存间（保持式灭菌工艺）等</w:t>
            </w:r>
          </w:p>
        </w:tc>
        <w:tc>
          <w:tcPr>
            <w:tcW w:w="24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收乳间、外包装清洁车间、原料仓库、包装材料仓库、拆外包装车间、外包装车间及成品仓库等</w:t>
            </w:r>
          </w:p>
        </w:tc>
      </w:tr>
    </w:tbl>
    <w:p>
      <w:pPr>
        <w:adjustRightInd w:val="0"/>
        <w:snapToGrid w:val="0"/>
        <w:spacing w:line="560" w:lineRule="exact"/>
        <w:ind w:firstLine="570"/>
        <w:rPr>
          <w:rFonts w:ascii="仿宋_GB2312" w:hAnsi="仿宋_GB2312" w:eastAsia="仿宋_GB2312" w:cs="仿宋_GB2312"/>
          <w:bCs/>
          <w:kern w:val="0"/>
          <w:sz w:val="32"/>
          <w:szCs w:val="32"/>
        </w:rPr>
      </w:pPr>
      <w:r>
        <w:rPr>
          <w:rFonts w:hint="eastAsia" w:ascii="黑体" w:hAnsi="黑体" w:eastAsia="黑体" w:cs="黑体"/>
          <w:bCs/>
          <w:kern w:val="0"/>
          <w:sz w:val="32"/>
          <w:szCs w:val="32"/>
        </w:rPr>
        <w:t xml:space="preserve"> 第七条</w:t>
      </w:r>
      <w:r>
        <w:rPr>
          <w:rFonts w:ascii="华文中宋" w:hAnsi="华文中宋" w:eastAsia="华文中宋" w:cs="Times New Roman"/>
          <w:b/>
          <w:kern w:val="0"/>
          <w:sz w:val="32"/>
          <w:szCs w:val="32"/>
        </w:rPr>
        <w:t xml:space="preserve"> </w:t>
      </w:r>
      <w:r>
        <w:rPr>
          <w:rFonts w:hint="eastAsia" w:ascii="仿宋_GB2312" w:eastAsia="仿宋_GB2312" w:cs="黑体" w:hAnsiTheme="minorEastAsia"/>
          <w:bCs/>
          <w:kern w:val="0"/>
          <w:sz w:val="32"/>
          <w:szCs w:val="32"/>
        </w:rPr>
        <w:t>清</w:t>
      </w:r>
      <w:r>
        <w:rPr>
          <w:rFonts w:hint="eastAsia" w:ascii="Times New Roman" w:eastAsia="仿宋_GB2312" w:hAnsiTheme="minorEastAsia"/>
          <w:bCs/>
          <w:kern w:val="0"/>
          <w:sz w:val="32"/>
          <w:szCs w:val="32"/>
        </w:rPr>
        <w:t>洁作业区的出入应有合理的限制和控制，</w:t>
      </w:r>
      <w:r>
        <w:rPr>
          <w:rFonts w:hint="eastAsia" w:ascii="仿宋_GB2312" w:hAnsi="仿宋_GB2312" w:eastAsia="仿宋_GB2312" w:cs="仿宋_GB2312"/>
          <w:bCs/>
          <w:color w:val="000000"/>
          <w:sz w:val="32"/>
          <w:szCs w:val="32"/>
        </w:rPr>
        <w:t>清洁作业区、准清洁作业区的对外出入口应安装能自动关闭（如自动感应器或闭门器等）的门和（或）空气幕，并应确保两侧的门不被同时开启。进出清洁作业区的人员、原料、包装材料、废弃物、工器具等，应有防止交叉污染的措施。</w:t>
      </w:r>
      <w:r>
        <w:rPr>
          <w:rFonts w:hint="eastAsia" w:ascii="Times New Roman" w:eastAsia="仿宋_GB2312" w:hAnsiTheme="minorEastAsia"/>
          <w:bCs/>
          <w:kern w:val="0"/>
          <w:sz w:val="32"/>
          <w:szCs w:val="32"/>
        </w:rPr>
        <w:t>应设置原辅料包装清洁设施和包装材料清洁消毒设施，进出清洁作业区的原辅料通道两边的门应防止同时被开启。</w:t>
      </w:r>
    </w:p>
    <w:p>
      <w:pPr>
        <w:pStyle w:val="70"/>
        <w:tabs>
          <w:tab w:val="left" w:pos="0"/>
        </w:tabs>
        <w:autoSpaceDN w:val="0"/>
        <w:adjustRightInd w:val="0"/>
        <w:snapToGrid w:val="0"/>
        <w:spacing w:line="560" w:lineRule="exact"/>
        <w:ind w:firstLine="0" w:firstLineChars="0"/>
        <w:jc w:val="left"/>
        <w:rPr>
          <w:rFonts w:ascii="Times New Roman" w:eastAsia="仿宋_GB2312" w:hAnsiTheme="minorEastAsia"/>
          <w:b/>
          <w:kern w:val="0"/>
          <w:sz w:val="32"/>
          <w:szCs w:val="32"/>
        </w:rPr>
      </w:pPr>
      <w:r>
        <w:rPr>
          <w:rFonts w:hint="eastAsia" w:ascii="华文中宋" w:hAnsi="华文中宋" w:eastAsia="华文中宋" w:cs="黑体"/>
          <w:b/>
          <w:kern w:val="0"/>
          <w:sz w:val="32"/>
          <w:szCs w:val="32"/>
        </w:rPr>
        <w:t xml:space="preserve">    </w:t>
      </w:r>
      <w:r>
        <w:rPr>
          <w:rFonts w:hint="eastAsia" w:ascii="黑体" w:hAnsi="黑体" w:eastAsia="黑体" w:cs="黑体"/>
          <w:bCs/>
          <w:kern w:val="0"/>
          <w:sz w:val="32"/>
          <w:szCs w:val="32"/>
        </w:rPr>
        <w:t xml:space="preserve">第八条 </w:t>
      </w:r>
      <w:r>
        <w:rPr>
          <w:rFonts w:hint="eastAsia" w:ascii="仿宋_GB2312" w:hAnsi="仿宋_GB2312" w:eastAsia="仿宋_GB2312" w:cs="仿宋_GB2312"/>
          <w:bCs/>
          <w:color w:val="000000"/>
          <w:sz w:val="32"/>
          <w:szCs w:val="32"/>
        </w:rPr>
        <w:t>清洁作业区应保持干燥，并尽量减少</w:t>
      </w:r>
      <w:r>
        <w:rPr>
          <w:rFonts w:hint="eastAsia" w:ascii="仿宋_GB2312" w:hAnsi="仿宋_GB2312" w:eastAsia="仿宋_GB2312" w:cs="仿宋_GB2312"/>
          <w:bCs/>
          <w:kern w:val="0"/>
          <w:sz w:val="32"/>
          <w:szCs w:val="32"/>
        </w:rPr>
        <w:t>供水设施及系统，如无法避免，应有相应防护措施。</w:t>
      </w:r>
    </w:p>
    <w:p>
      <w:pPr>
        <w:spacing w:line="560" w:lineRule="exact"/>
        <w:rPr>
          <w:rFonts w:ascii="华文中宋" w:hAnsi="华文中宋" w:eastAsia="华文中宋" w:cs="黑体"/>
          <w:b/>
          <w:kern w:val="0"/>
          <w:sz w:val="32"/>
          <w:szCs w:val="32"/>
        </w:rPr>
      </w:pPr>
      <w:r>
        <w:rPr>
          <w:rFonts w:hint="eastAsia" w:ascii="华文中宋" w:hAnsi="华文中宋" w:eastAsia="华文中宋" w:cs="黑体"/>
          <w:kern w:val="0"/>
          <w:sz w:val="32"/>
          <w:szCs w:val="32"/>
        </w:rPr>
        <w:t xml:space="preserve">   </w:t>
      </w:r>
      <w:r>
        <w:rPr>
          <w:rFonts w:hint="eastAsia" w:ascii="黑体" w:hAnsi="黑体" w:eastAsia="黑体" w:cs="黑体"/>
          <w:kern w:val="0"/>
          <w:sz w:val="32"/>
          <w:szCs w:val="32"/>
        </w:rPr>
        <w:t xml:space="preserve"> </w:t>
      </w:r>
      <w:r>
        <w:rPr>
          <w:rFonts w:hint="eastAsia" w:ascii="黑体" w:hAnsi="黑体" w:eastAsia="黑体" w:cs="黑体"/>
          <w:color w:val="000000"/>
          <w:sz w:val="32"/>
          <w:szCs w:val="32"/>
        </w:rPr>
        <w:t>第九条</w:t>
      </w:r>
      <w:r>
        <w:rPr>
          <w:rFonts w:hint="eastAsia" w:ascii="黑体" w:hAnsi="黑体" w:eastAsia="黑体" w:cs="黑体"/>
          <w:color w:val="000000"/>
          <w:sz w:val="30"/>
          <w:szCs w:val="30"/>
        </w:rPr>
        <w:t xml:space="preserve"> </w:t>
      </w:r>
      <w:r>
        <w:rPr>
          <w:rFonts w:hint="eastAsia" w:ascii="仿宋_GB2312" w:hAnsi="仿宋_GB2312" w:eastAsia="仿宋_GB2312" w:cs="仿宋_GB2312"/>
          <w:bCs/>
          <w:sz w:val="32"/>
          <w:szCs w:val="32"/>
        </w:rPr>
        <w:t>厂房内设置的检验室应与生产区域分隔。车间内设置的过程检验室应符合相关区域卫生要求，有防止污染的措施。如有必要在生产区内的在线监控设备（如净含量监控设备、密封性测试设备、比重计等）设置区域应合理。</w:t>
      </w:r>
      <w:r>
        <w:rPr>
          <w:rFonts w:hint="eastAsia" w:ascii="华文中宋" w:hAnsi="华文中宋" w:eastAsia="华文中宋" w:cs="黑体"/>
          <w:b/>
          <w:kern w:val="0"/>
          <w:sz w:val="32"/>
          <w:szCs w:val="32"/>
        </w:rPr>
        <w:t xml:space="preserve">   </w:t>
      </w:r>
    </w:p>
    <w:p>
      <w:pPr>
        <w:spacing w:line="560" w:lineRule="exact"/>
        <w:rPr>
          <w:rFonts w:ascii="华文中宋" w:hAnsi="华文中宋" w:eastAsia="华文中宋" w:cs="黑体"/>
          <w:b/>
          <w:kern w:val="0"/>
          <w:sz w:val="32"/>
          <w:szCs w:val="32"/>
        </w:rPr>
      </w:pPr>
      <w:r>
        <w:rPr>
          <w:rFonts w:hint="eastAsia" w:ascii="华文中宋" w:hAnsi="华文中宋" w:eastAsia="华文中宋" w:cs="黑体"/>
          <w:b/>
          <w:kern w:val="0"/>
          <w:sz w:val="32"/>
          <w:szCs w:val="32"/>
        </w:rPr>
        <w:t xml:space="preserve">    </w:t>
      </w:r>
      <w:r>
        <w:rPr>
          <w:rFonts w:hint="eastAsia" w:ascii="黑体" w:hAnsi="黑体" w:eastAsia="黑体" w:cs="黑体"/>
          <w:bCs/>
          <w:kern w:val="0"/>
          <w:sz w:val="30"/>
          <w:szCs w:val="30"/>
        </w:rPr>
        <w:t>第十条</w:t>
      </w:r>
      <w:r>
        <w:rPr>
          <w:rFonts w:hint="eastAsia" w:ascii="仿宋_GB2312" w:eastAsia="仿宋_GB2312" w:cs="新宋体"/>
          <w:bCs/>
          <w:color w:val="000000"/>
          <w:sz w:val="32"/>
          <w:szCs w:val="32"/>
        </w:rPr>
        <w:t>厂房和车间建筑结构应符合相关标准的规定，保持建筑完好，环境整洁，有防止虫害的侵入及孳生的措施。生产车间内的墙壁、顶棚、门窗应平坦无裂缝，易于清洁。地面应使用无毒、无味、不渗透、耐腐蚀的材料建造，其结构应平整，易于清洗、消毒和防止积水。</w:t>
      </w:r>
    </w:p>
    <w:p>
      <w:pPr>
        <w:spacing w:line="560" w:lineRule="exact"/>
        <w:rPr>
          <w:rFonts w:cs="新宋体"/>
          <w:bCs/>
          <w:color w:val="000000"/>
          <w:sz w:val="32"/>
          <w:szCs w:val="32"/>
        </w:rPr>
      </w:pPr>
      <w:r>
        <w:rPr>
          <w:rFonts w:hint="eastAsia" w:ascii="黑体" w:hAnsi="黑体" w:eastAsia="黑体" w:cs="黑体"/>
          <w:bCs/>
          <w:kern w:val="0"/>
          <w:sz w:val="32"/>
          <w:szCs w:val="32"/>
        </w:rPr>
        <w:t xml:space="preserve">   第十一条</w:t>
      </w:r>
      <w:r>
        <w:rPr>
          <w:rFonts w:hint="eastAsia" w:ascii="仿宋_GB2312" w:hAnsi="华文中宋" w:eastAsia="仿宋_GB2312" w:cs="黑体"/>
          <w:bCs/>
          <w:kern w:val="0"/>
          <w:sz w:val="32"/>
          <w:szCs w:val="32"/>
        </w:rPr>
        <w:t>企业</w:t>
      </w:r>
      <w:r>
        <w:rPr>
          <w:rFonts w:hint="eastAsia" w:ascii="Times New Roman" w:eastAsia="仿宋_GB2312" w:hAnsiTheme="minorEastAsia"/>
          <w:bCs/>
          <w:kern w:val="0"/>
          <w:sz w:val="32"/>
          <w:szCs w:val="32"/>
        </w:rPr>
        <w:t>应具有与所生产产品的数量、储存要求相适应的仓储设施，并有通风和照明设施，必要时设有温、湿度控制设施，满足物料或产品储存条件和产品安全防护的要求。</w:t>
      </w:r>
      <w:r>
        <w:rPr>
          <w:rFonts w:hint="eastAsia" w:ascii="仿宋_GB2312" w:eastAsia="仿宋_GB2312" w:cs="新宋体"/>
          <w:bCs/>
          <w:color w:val="000000"/>
          <w:sz w:val="32"/>
          <w:szCs w:val="32"/>
        </w:rPr>
        <w:t>所有物料储存场所应有标识，并对该场所的人员出入加以控制。</w:t>
      </w:r>
    </w:p>
    <w:p>
      <w:pPr>
        <w:pStyle w:val="70"/>
        <w:widowControl/>
        <w:spacing w:after="160" w:line="560" w:lineRule="exact"/>
        <w:ind w:firstLine="640"/>
        <w:contextualSpacing/>
        <w:jc w:val="left"/>
        <w:rPr>
          <w:rFonts w:eastAsia="仿宋_GB2312"/>
          <w:bCs/>
          <w:color w:val="000000"/>
          <w:sz w:val="32"/>
          <w:szCs w:val="32"/>
        </w:rPr>
      </w:pPr>
      <w:r>
        <w:rPr>
          <w:rFonts w:hint="eastAsia" w:ascii="黑体" w:hAnsi="黑体" w:eastAsia="黑体" w:cs="黑体"/>
          <w:bCs/>
          <w:kern w:val="0"/>
          <w:sz w:val="32"/>
          <w:szCs w:val="32"/>
        </w:rPr>
        <w:t xml:space="preserve"> 第十二条</w:t>
      </w:r>
      <w:r>
        <w:rPr>
          <w:rFonts w:eastAsia="仿宋_GB2312"/>
          <w:bCs/>
          <w:sz w:val="32"/>
          <w:szCs w:val="32"/>
        </w:rPr>
        <w:t>原料、</w:t>
      </w:r>
      <w:r>
        <w:rPr>
          <w:rFonts w:hint="eastAsia" w:eastAsia="仿宋_GB2312"/>
          <w:bCs/>
          <w:sz w:val="32"/>
          <w:szCs w:val="32"/>
        </w:rPr>
        <w:t>过程产品</w:t>
      </w:r>
      <w:r>
        <w:rPr>
          <w:rFonts w:eastAsia="仿宋_GB2312"/>
          <w:bCs/>
          <w:sz w:val="32"/>
          <w:szCs w:val="32"/>
        </w:rPr>
        <w:t>、成品、包装材料等</w:t>
      </w:r>
      <w:r>
        <w:rPr>
          <w:rFonts w:hint="eastAsia" w:eastAsia="仿宋_GB2312"/>
          <w:bCs/>
          <w:sz w:val="32"/>
          <w:szCs w:val="32"/>
          <w:lang w:eastAsia="zh-CN"/>
        </w:rPr>
        <w:t>要</w:t>
      </w:r>
      <w:r>
        <w:rPr>
          <w:rFonts w:hint="eastAsia" w:eastAsia="仿宋_GB2312"/>
          <w:bCs/>
          <w:sz w:val="32"/>
          <w:szCs w:val="32"/>
        </w:rPr>
        <w:t>依据</w:t>
      </w:r>
      <w:r>
        <w:rPr>
          <w:rFonts w:eastAsia="仿宋_GB2312"/>
          <w:bCs/>
          <w:sz w:val="32"/>
          <w:szCs w:val="32"/>
        </w:rPr>
        <w:t>性质的不同分设</w:t>
      </w:r>
      <w:r>
        <w:rPr>
          <w:rFonts w:hint="eastAsia" w:eastAsia="仿宋_GB2312"/>
          <w:bCs/>
          <w:sz w:val="32"/>
          <w:szCs w:val="32"/>
        </w:rPr>
        <w:t>储</w:t>
      </w:r>
      <w:r>
        <w:rPr>
          <w:rFonts w:eastAsia="仿宋_GB2312"/>
          <w:bCs/>
          <w:sz w:val="32"/>
          <w:szCs w:val="32"/>
        </w:rPr>
        <w:t>存场所或分区域码放，不合格、退货或召回的物料或产品</w:t>
      </w:r>
      <w:r>
        <w:rPr>
          <w:rFonts w:hint="eastAsia" w:eastAsia="仿宋_GB2312"/>
          <w:bCs/>
          <w:sz w:val="32"/>
          <w:szCs w:val="32"/>
        </w:rPr>
        <w:t>分隔或分区</w:t>
      </w:r>
      <w:r>
        <w:rPr>
          <w:rFonts w:eastAsia="仿宋_GB2312"/>
          <w:bCs/>
          <w:sz w:val="32"/>
          <w:szCs w:val="32"/>
        </w:rPr>
        <w:t>存放</w:t>
      </w:r>
      <w:r>
        <w:rPr>
          <w:rFonts w:hint="eastAsia" w:eastAsia="仿宋_GB2312"/>
          <w:bCs/>
          <w:sz w:val="32"/>
          <w:szCs w:val="32"/>
        </w:rPr>
        <w:t>，</w:t>
      </w:r>
      <w:r>
        <w:rPr>
          <w:rFonts w:eastAsia="仿宋_GB2312"/>
          <w:bCs/>
          <w:sz w:val="32"/>
          <w:szCs w:val="32"/>
        </w:rPr>
        <w:t>并有明确标识</w:t>
      </w:r>
      <w:r>
        <w:rPr>
          <w:rFonts w:hint="eastAsia" w:eastAsia="仿宋_GB2312"/>
          <w:bCs/>
          <w:sz w:val="32"/>
          <w:szCs w:val="32"/>
        </w:rPr>
        <w:t>，必要时应设有温度、湿度控制措施，</w:t>
      </w:r>
      <w:r>
        <w:rPr>
          <w:rFonts w:hint="eastAsia" w:eastAsia="仿宋_GB2312"/>
          <w:bCs/>
          <w:color w:val="000000"/>
          <w:sz w:val="32"/>
          <w:szCs w:val="32"/>
        </w:rPr>
        <w:t>如采用自动化仓储管理系统对物料进行管控，应保证具有等同的可控性。</w:t>
      </w:r>
    </w:p>
    <w:p>
      <w:pPr>
        <w:pStyle w:val="70"/>
        <w:widowControl/>
        <w:adjustRightInd w:val="0"/>
        <w:snapToGrid w:val="0"/>
        <w:spacing w:after="160" w:line="560" w:lineRule="exact"/>
        <w:ind w:firstLine="641" w:firstLineChars="0"/>
        <w:contextualSpacing/>
        <w:jc w:val="left"/>
        <w:rPr>
          <w:rFonts w:ascii="黑体" w:hAnsi="黑体" w:eastAsia="仿宋_GB2312" w:cs="黑体"/>
          <w:bCs/>
          <w:kern w:val="0"/>
          <w:sz w:val="32"/>
          <w:szCs w:val="32"/>
        </w:rPr>
      </w:pPr>
      <w:r>
        <w:rPr>
          <w:rFonts w:eastAsia="仿宋_GB2312"/>
          <w:bCs/>
          <w:sz w:val="32"/>
          <w:szCs w:val="32"/>
        </w:rPr>
        <w:t>有毒有害物品</w:t>
      </w:r>
      <w:r>
        <w:rPr>
          <w:rFonts w:hint="eastAsia" w:eastAsia="仿宋_GB2312"/>
          <w:bCs/>
          <w:sz w:val="32"/>
          <w:szCs w:val="32"/>
        </w:rPr>
        <w:t>、</w:t>
      </w:r>
      <w:r>
        <w:rPr>
          <w:rFonts w:eastAsia="仿宋_GB2312"/>
          <w:bCs/>
          <w:sz w:val="32"/>
          <w:szCs w:val="32"/>
        </w:rPr>
        <w:t>清洁剂</w:t>
      </w:r>
      <w:r>
        <w:rPr>
          <w:rFonts w:hint="eastAsia" w:eastAsia="仿宋_GB2312"/>
          <w:bCs/>
          <w:sz w:val="32"/>
          <w:szCs w:val="32"/>
        </w:rPr>
        <w:t>和</w:t>
      </w:r>
      <w:r>
        <w:rPr>
          <w:rFonts w:eastAsia="仿宋_GB2312"/>
          <w:bCs/>
          <w:sz w:val="32"/>
          <w:szCs w:val="32"/>
        </w:rPr>
        <w:t>消毒剂等</w:t>
      </w:r>
      <w:r>
        <w:rPr>
          <w:rFonts w:hint="eastAsia" w:eastAsia="仿宋_GB2312"/>
          <w:bCs/>
          <w:sz w:val="32"/>
          <w:szCs w:val="32"/>
        </w:rPr>
        <w:t>化学物品应与原辅材料、过程产品、成品等分库存放，防止交叉污染，并应有显著标识。</w:t>
      </w:r>
    </w:p>
    <w:p>
      <w:pPr>
        <w:pStyle w:val="70"/>
        <w:widowControl/>
        <w:adjustRightInd w:val="0"/>
        <w:snapToGrid w:val="0"/>
        <w:spacing w:after="160" w:line="560" w:lineRule="exact"/>
        <w:ind w:firstLine="640"/>
        <w:contextualSpacing/>
        <w:jc w:val="left"/>
        <w:rPr>
          <w:rFonts w:ascii="黑体" w:hAnsi="黑体" w:eastAsia="黑体" w:cs="黑体"/>
          <w:sz w:val="32"/>
          <w:szCs w:val="32"/>
        </w:rPr>
      </w:pPr>
      <w:r>
        <w:rPr>
          <w:rFonts w:hint="eastAsia" w:ascii="黑体" w:hAnsi="黑体" w:eastAsia="黑体" w:cs="黑体"/>
          <w:bCs/>
          <w:kern w:val="0"/>
          <w:sz w:val="32"/>
          <w:szCs w:val="32"/>
        </w:rPr>
        <w:t xml:space="preserve"> </w:t>
      </w:r>
      <w:r>
        <w:rPr>
          <w:rFonts w:hint="eastAsia" w:ascii="Times New Roman" w:eastAsia="仿宋_GB2312" w:hAnsiTheme="minorEastAsia"/>
          <w:bCs/>
          <w:kern w:val="0"/>
          <w:sz w:val="32"/>
          <w:szCs w:val="32"/>
        </w:rPr>
        <w:t>接收、发放和发运区域应能保护物料、产品免受外界天气（如雨、雪）的影响，接收区的布局和设施应能够保证物料在进入仓储区前可对外包装进行必要的清洁。</w:t>
      </w:r>
      <w:bookmarkStart w:id="3" w:name="_Toc493510001"/>
    </w:p>
    <w:p>
      <w:pPr>
        <w:pStyle w:val="70"/>
        <w:widowControl/>
        <w:adjustRightInd w:val="0"/>
        <w:snapToGrid w:val="0"/>
        <w:spacing w:after="160" w:line="560" w:lineRule="exact"/>
        <w:ind w:firstLine="0" w:firstLineChars="0"/>
        <w:contextualSpacing/>
        <w:jc w:val="center"/>
        <w:rPr>
          <w:rFonts w:ascii="黑体" w:hAnsi="黑体" w:eastAsia="黑体" w:cs="黑体"/>
          <w:sz w:val="32"/>
          <w:szCs w:val="32"/>
        </w:rPr>
      </w:pPr>
      <w:r>
        <w:rPr>
          <w:rFonts w:hint="eastAsia" w:ascii="黑体" w:hAnsi="黑体" w:eastAsia="黑体" w:cs="黑体"/>
          <w:sz w:val="32"/>
          <w:szCs w:val="32"/>
        </w:rPr>
        <w:t>第三章  设备设施</w:t>
      </w:r>
      <w:bookmarkEnd w:id="3"/>
    </w:p>
    <w:p>
      <w:pPr>
        <w:adjustRightInd w:val="0"/>
        <w:snapToGrid w:val="0"/>
        <w:spacing w:line="560" w:lineRule="exact"/>
        <w:ind w:firstLine="640" w:firstLineChars="200"/>
        <w:rPr>
          <w:rFonts w:ascii="Times New Roman" w:eastAsia="仿宋_GB2312" w:hAnsiTheme="minorEastAsia"/>
          <w:bCs/>
          <w:kern w:val="0"/>
          <w:sz w:val="32"/>
          <w:szCs w:val="32"/>
          <w:highlight w:val="none"/>
        </w:rPr>
      </w:pPr>
      <w:r>
        <w:rPr>
          <w:rFonts w:hint="eastAsia" w:ascii="黑体" w:hAnsi="黑体" w:eastAsia="黑体" w:cs="黑体"/>
          <w:bCs/>
          <w:kern w:val="0"/>
          <w:sz w:val="32"/>
          <w:szCs w:val="32"/>
        </w:rPr>
        <w:t>第十三条</w:t>
      </w:r>
      <w:r>
        <w:rPr>
          <w:rFonts w:hint="eastAsia" w:ascii="华文中宋" w:hAnsi="华文中宋" w:eastAsia="华文中宋" w:cs="黑体"/>
          <w:b/>
          <w:kern w:val="0"/>
          <w:sz w:val="32"/>
          <w:szCs w:val="32"/>
        </w:rPr>
        <w:t xml:space="preserve"> </w:t>
      </w:r>
      <w:r>
        <w:rPr>
          <w:rFonts w:hint="eastAsia" w:ascii="仿宋_GB2312" w:hAnsi="仿宋_GB2312" w:eastAsia="仿宋_GB2312" w:cs="仿宋_GB2312"/>
          <w:bCs/>
          <w:kern w:val="0"/>
          <w:sz w:val="32"/>
          <w:szCs w:val="32"/>
        </w:rPr>
        <w:t>生产设备的配备应与生产规模、工艺流程、工艺参数相适应。不应使用国家及地方禁止或明令淘汰的生产工艺和设备，乳制品基本生产设备设施见表3。</w:t>
      </w:r>
      <w:r>
        <w:rPr>
          <w:rFonts w:hint="eastAsia" w:ascii="仿宋_GB2312" w:hAnsi="仿宋_GB2312" w:eastAsia="仿宋_GB2312" w:cs="仿宋_GB2312"/>
          <w:bCs/>
          <w:kern w:val="0"/>
          <w:sz w:val="32"/>
          <w:szCs w:val="32"/>
          <w:highlight w:val="none"/>
        </w:rPr>
        <w:t>若企业采用不同于表</w:t>
      </w:r>
      <w:r>
        <w:rPr>
          <w:rFonts w:ascii="仿宋_GB2312" w:hAnsi="仿宋_GB2312" w:eastAsia="仿宋_GB2312" w:cs="仿宋_GB2312"/>
          <w:bCs/>
          <w:kern w:val="0"/>
          <w:sz w:val="32"/>
          <w:szCs w:val="32"/>
          <w:highlight w:val="none"/>
        </w:rPr>
        <w:t>3所列的生产设备，应有必要性和安全性评价报告并与生产工艺要求相适应。</w:t>
      </w:r>
    </w:p>
    <w:p>
      <w:pPr>
        <w:adjustRightInd w:val="0"/>
        <w:snapToGrid w:val="0"/>
        <w:spacing w:line="560" w:lineRule="exact"/>
        <w:jc w:val="center"/>
        <w:rPr>
          <w:rFonts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rPr>
        <w:t>表3 乳制品基本生产设备设施</w:t>
      </w:r>
    </w:p>
    <w:tbl>
      <w:tblPr>
        <w:tblStyle w:val="29"/>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trPr>
        <w:tc>
          <w:tcPr>
            <w:tcW w:w="1776" w:type="dxa"/>
            <w:vAlign w:val="center"/>
          </w:tcPr>
          <w:p>
            <w:pPr>
              <w:widowControl/>
              <w:jc w:val="center"/>
              <w:rPr>
                <w:rFonts w:eastAsia="黑体"/>
                <w:kern w:val="0"/>
                <w:szCs w:val="21"/>
              </w:rPr>
            </w:pPr>
            <w:r>
              <w:rPr>
                <w:rFonts w:hint="eastAsia" w:eastAsia="黑体"/>
                <w:kern w:val="0"/>
                <w:szCs w:val="21"/>
              </w:rPr>
              <w:t>品种名称</w:t>
            </w:r>
          </w:p>
        </w:tc>
        <w:tc>
          <w:tcPr>
            <w:tcW w:w="7397" w:type="dxa"/>
            <w:vAlign w:val="center"/>
          </w:tcPr>
          <w:p>
            <w:pPr>
              <w:widowControl/>
              <w:jc w:val="center"/>
              <w:rPr>
                <w:rFonts w:eastAsia="黑体"/>
                <w:kern w:val="0"/>
                <w:szCs w:val="21"/>
              </w:rPr>
            </w:pPr>
            <w:r>
              <w:rPr>
                <w:rFonts w:hint="eastAsia" w:eastAsia="黑体"/>
                <w:kern w:val="0"/>
                <w:szCs w:val="21"/>
              </w:rPr>
              <w:t>基本生产设备设施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巴氏杀菌乳、高温杀菌乳</w:t>
            </w:r>
          </w:p>
        </w:tc>
        <w:tc>
          <w:tcPr>
            <w:tcW w:w="7397" w:type="dxa"/>
            <w:vAlign w:val="center"/>
          </w:tcPr>
          <w:p>
            <w:pPr>
              <w:ind w:left="1" w:firstLine="56" w:firstLineChars="27"/>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预处理设备：原料奶运输设备、过滤设备、冷却设备、</w:t>
            </w:r>
            <w:r>
              <w:rPr>
                <w:rFonts w:hint="eastAsia" w:ascii="仿宋_GB2312" w:hAnsi="仿宋_GB2312" w:eastAsia="仿宋_GB2312" w:cs="仿宋_GB2312"/>
                <w:szCs w:val="21"/>
              </w:rPr>
              <w:t>储奶罐、净乳设备（总处理能力不应小于5t/h），均质设备</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总加工能力不应小于5t/h</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，巴氏杀菌或高温杀菌设备，灌装设备</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制冷设备，全自动CIP清洗设备(清洗过程全自动控制)，保温运输车辆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调制乳</w:t>
            </w:r>
          </w:p>
        </w:tc>
        <w:tc>
          <w:tcPr>
            <w:tcW w:w="7397" w:type="dxa"/>
            <w:vAlign w:val="center"/>
          </w:tcPr>
          <w:p>
            <w:pPr>
              <w:ind w:left="1" w:firstLine="56" w:firstLineChars="27"/>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预处理设备</w:t>
            </w:r>
            <w:r>
              <w:rPr>
                <w:rFonts w:hint="eastAsia" w:ascii="仿宋_GB2312" w:hAnsi="仿宋_GB2312" w:eastAsia="仿宋_GB2312" w:cs="仿宋_GB2312"/>
                <w:szCs w:val="21"/>
              </w:rPr>
              <w:t>（以乳粉为原料的产品除外）</w:t>
            </w:r>
            <w:r>
              <w:rPr>
                <w:rFonts w:hint="eastAsia" w:ascii="仿宋_GB2312" w:hAnsi="仿宋_GB2312" w:eastAsia="仿宋_GB2312" w:cs="仿宋_GB2312"/>
                <w:kern w:val="0"/>
                <w:szCs w:val="21"/>
              </w:rPr>
              <w:t>：原料奶运输设备、过滤设备、冷却设备、</w:t>
            </w:r>
            <w:r>
              <w:rPr>
                <w:rFonts w:hint="eastAsia" w:ascii="仿宋_GB2312" w:hAnsi="仿宋_GB2312" w:eastAsia="仿宋_GB2312" w:cs="仿宋_GB2312"/>
                <w:szCs w:val="21"/>
              </w:rPr>
              <w:t>储奶罐、净乳设备（总处理能力不应小于5t/h），配料设备，均质设备</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总加工能力不应小于5t/h</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，杀菌或灭菌设备，灌装设备或</w:t>
            </w:r>
            <w:r>
              <w:rPr>
                <w:rFonts w:hint="eastAsia" w:ascii="仿宋_GB2312" w:hAnsi="仿宋_GB2312" w:eastAsia="仿宋_GB2312" w:cs="仿宋_GB2312"/>
                <w:kern w:val="0"/>
                <w:szCs w:val="21"/>
              </w:rPr>
              <w:t>无菌灌装设备，</w:t>
            </w:r>
            <w:r>
              <w:rPr>
                <w:rFonts w:hint="eastAsia" w:ascii="仿宋_GB2312" w:hAnsi="仿宋_GB2312" w:eastAsia="仿宋_GB2312" w:cs="仿宋_GB2312"/>
                <w:szCs w:val="21"/>
              </w:rPr>
              <w:t>制冷设备，全自动CIP清洗设备(清洗过程全自动控制)，保温运输车辆(需要时)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灭菌乳</w:t>
            </w:r>
          </w:p>
        </w:tc>
        <w:tc>
          <w:tcPr>
            <w:tcW w:w="7397" w:type="dxa"/>
            <w:vAlign w:val="center"/>
          </w:tcPr>
          <w:p>
            <w:pPr>
              <w:ind w:left="1" w:firstLine="56" w:firstLineChars="27"/>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预处理设备</w:t>
            </w:r>
            <w:r>
              <w:rPr>
                <w:rFonts w:hint="eastAsia" w:ascii="仿宋_GB2312" w:hAnsi="仿宋_GB2312" w:eastAsia="仿宋_GB2312" w:cs="仿宋_GB2312"/>
                <w:szCs w:val="21"/>
              </w:rPr>
              <w:t>（以乳粉为原料的产品除外）：</w:t>
            </w:r>
            <w:r>
              <w:rPr>
                <w:rFonts w:hint="eastAsia" w:ascii="仿宋_GB2312" w:hAnsi="仿宋_GB2312" w:eastAsia="仿宋_GB2312" w:cs="仿宋_GB2312"/>
                <w:kern w:val="0"/>
                <w:szCs w:val="21"/>
              </w:rPr>
              <w:t>原料奶运输设备、过滤设备、冷却设备、</w:t>
            </w:r>
            <w:r>
              <w:rPr>
                <w:rFonts w:hint="eastAsia" w:ascii="仿宋_GB2312" w:hAnsi="仿宋_GB2312" w:eastAsia="仿宋_GB2312" w:cs="仿宋_GB2312"/>
                <w:szCs w:val="21"/>
              </w:rPr>
              <w:t>储奶罐、净乳设备（总处理能力不应小于5t/h），均质设备</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总加工能力不应小于5t/h</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，灭菌设备，灌装设备或</w:t>
            </w:r>
            <w:r>
              <w:rPr>
                <w:rFonts w:hint="eastAsia" w:ascii="仿宋_GB2312" w:hAnsi="仿宋_GB2312" w:eastAsia="仿宋_GB2312" w:cs="仿宋_GB2312"/>
                <w:kern w:val="0"/>
                <w:szCs w:val="21"/>
              </w:rPr>
              <w:t>无菌灌装设备，</w:t>
            </w:r>
            <w:r>
              <w:rPr>
                <w:rFonts w:hint="eastAsia" w:ascii="仿宋_GB2312" w:hAnsi="仿宋_GB2312" w:eastAsia="仿宋_GB2312" w:cs="仿宋_GB2312"/>
                <w:szCs w:val="21"/>
              </w:rPr>
              <w:t>制冷设备，全自动CIP清洗设备(清洗过程全自动控制)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发酵乳</w:t>
            </w:r>
          </w:p>
        </w:tc>
        <w:tc>
          <w:tcPr>
            <w:tcW w:w="7397" w:type="dxa"/>
            <w:vAlign w:val="center"/>
          </w:tcPr>
          <w:p>
            <w:pPr>
              <w:ind w:left="1"/>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预处理设备</w:t>
            </w:r>
            <w:r>
              <w:rPr>
                <w:rFonts w:hint="eastAsia" w:ascii="仿宋_GB2312" w:hAnsi="仿宋_GB2312" w:eastAsia="仿宋_GB2312" w:cs="仿宋_GB2312"/>
                <w:szCs w:val="21"/>
              </w:rPr>
              <w:t>（以乳粉为原料的产品除外）：</w:t>
            </w:r>
            <w:r>
              <w:rPr>
                <w:rFonts w:hint="eastAsia" w:ascii="仿宋_GB2312" w:hAnsi="仿宋_GB2312" w:eastAsia="仿宋_GB2312" w:cs="仿宋_GB2312"/>
                <w:kern w:val="0"/>
                <w:szCs w:val="21"/>
              </w:rPr>
              <w:t>原料奶运输设备、过滤设备、冷却设备、</w:t>
            </w:r>
            <w:r>
              <w:rPr>
                <w:rFonts w:hint="eastAsia" w:ascii="仿宋_GB2312" w:hAnsi="仿宋_GB2312" w:eastAsia="仿宋_GB2312" w:cs="仿宋_GB2312"/>
                <w:szCs w:val="21"/>
              </w:rPr>
              <w:t>储奶罐、净乳设备（总处理能力不应小于5t/h），杀菌设备，配料设备，均质设备</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总加工能力不应小于5t/h</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，发酵罐（发酵室），灌装设备</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制冷设备，全自动CIP清洗设备(清洗过程全自动控制)，保温运输工具(需要时)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776" w:type="dxa"/>
            <w:vMerge w:val="restart"/>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乳粉</w:t>
            </w:r>
          </w:p>
        </w:tc>
        <w:tc>
          <w:tcPr>
            <w:tcW w:w="7397" w:type="dxa"/>
            <w:vAlign w:val="center"/>
          </w:tcPr>
          <w:p>
            <w:pPr>
              <w:rPr>
                <w:rFonts w:ascii="仿宋_GB2312" w:hAnsi="仿宋_GB2312" w:eastAsia="仿宋_GB2312" w:cs="仿宋_GB2312"/>
                <w:kern w:val="0"/>
                <w:szCs w:val="21"/>
              </w:rPr>
            </w:pPr>
            <w:r>
              <w:rPr>
                <w:rFonts w:hint="eastAsia" w:ascii="仿宋_GB2312" w:hAnsi="仿宋_GB2312" w:eastAsia="仿宋_GB2312" w:cs="仿宋_GB2312"/>
                <w:bCs/>
                <w:szCs w:val="21"/>
              </w:rPr>
              <w:t>1.湿法工艺：</w:t>
            </w:r>
            <w:r>
              <w:rPr>
                <w:rFonts w:hint="eastAsia" w:ascii="仿宋_GB2312" w:hAnsi="仿宋_GB2312" w:eastAsia="仿宋_GB2312" w:cs="仿宋_GB2312"/>
                <w:kern w:val="0"/>
                <w:szCs w:val="21"/>
              </w:rPr>
              <w:t>预处理设备</w:t>
            </w:r>
            <w:r>
              <w:rPr>
                <w:rFonts w:hint="eastAsia" w:ascii="仿宋_GB2312" w:hAnsi="仿宋_GB2312" w:eastAsia="仿宋_GB2312" w:cs="仿宋_GB2312"/>
                <w:szCs w:val="21"/>
              </w:rPr>
              <w:t>（以乳粉为原料的产品除外）：</w:t>
            </w:r>
            <w:r>
              <w:rPr>
                <w:rFonts w:hint="eastAsia" w:ascii="仿宋_GB2312" w:hAnsi="仿宋_GB2312" w:eastAsia="仿宋_GB2312" w:cs="仿宋_GB2312"/>
                <w:kern w:val="0"/>
                <w:szCs w:val="21"/>
              </w:rPr>
              <w:t>原料奶运输设备、过滤设备、冷却设备、</w:t>
            </w:r>
            <w:r>
              <w:rPr>
                <w:rFonts w:hint="eastAsia" w:ascii="仿宋_GB2312" w:hAnsi="仿宋_GB2312" w:eastAsia="仿宋_GB2312" w:cs="仿宋_GB2312"/>
                <w:szCs w:val="21"/>
              </w:rPr>
              <w:t>储奶设备、净乳设备（总处理能力不应小于5t/h），配料设备（不包括全脂乳粉），均质设备（总加工能力不应小于5t/h），制冷设备（需要时），杀菌设备，浓缩设备（双效或多效真空浓缩蒸发器、要求单机蒸发能力2.4t/h以上），立式喷雾干燥设备（要求单塔水分蒸发能力0.5t/h以上），内包装物的杀菌设备或设施，异物探测设备，全自动小包装设备或半自动大包装设备，全自动CIP清洗设备(</w:t>
            </w:r>
            <w:r>
              <w:rPr>
                <w:rFonts w:hint="eastAsia" w:ascii="仿宋_GB2312" w:hAnsi="仿宋_GB2312" w:eastAsia="仿宋_GB2312" w:cs="仿宋_GB2312"/>
                <w:kern w:val="0"/>
                <w:szCs w:val="21"/>
              </w:rPr>
              <w:t>要求清洗过程全自动控制，应覆盖浓缩前的生产线，无死角。</w:t>
            </w:r>
            <w:r>
              <w:rPr>
                <w:rFonts w:hint="eastAsia" w:ascii="仿宋_GB2312" w:hAnsi="仿宋_GB2312" w:eastAsia="仿宋_GB2312" w:cs="仿宋_GB2312"/>
                <w:color w:val="000000"/>
                <w:szCs w:val="21"/>
              </w:rPr>
              <w:t>浓缩设备的CIP清洗系统可独立设置</w:t>
            </w:r>
            <w:r>
              <w:rPr>
                <w:rFonts w:hint="eastAsia" w:ascii="仿宋_GB2312" w:hAnsi="仿宋_GB2312" w:eastAsia="仿宋_GB2312" w:cs="仿宋_GB2312"/>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776" w:type="dxa"/>
            <w:vMerge w:val="continue"/>
            <w:vAlign w:val="center"/>
          </w:tcPr>
          <w:p>
            <w:pPr>
              <w:jc w:val="center"/>
              <w:rPr>
                <w:rFonts w:ascii="仿宋_GB2312" w:hAnsi="仿宋_GB2312" w:eastAsia="仿宋_GB2312" w:cs="仿宋_GB2312"/>
                <w:kern w:val="0"/>
                <w:szCs w:val="21"/>
              </w:rPr>
            </w:pP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bCs/>
                <w:szCs w:val="21"/>
              </w:rPr>
              <w:t>2.干法工艺：</w:t>
            </w:r>
            <w:r>
              <w:rPr>
                <w:rFonts w:hint="eastAsia" w:ascii="仿宋_GB2312" w:hAnsi="仿宋_GB2312" w:eastAsia="仿宋_GB2312" w:cs="仿宋_GB2312"/>
                <w:szCs w:val="21"/>
              </w:rPr>
              <w:t>原料的计量设备，隧道杀菌设备（连续、封闭式），预混设备，混合设备（</w:t>
            </w:r>
            <w:r>
              <w:rPr>
                <w:rFonts w:hint="eastAsia" w:ascii="仿宋_GB2312" w:hAnsi="仿宋_GB2312" w:eastAsia="仿宋_GB2312" w:cs="仿宋_GB2312"/>
                <w:kern w:val="0"/>
                <w:szCs w:val="21"/>
              </w:rPr>
              <w:t>自动化、封闭式设备，至少保障1:1000的两种物料混合均匀，加工能力2t/h或以上</w:t>
            </w:r>
            <w:r>
              <w:rPr>
                <w:rFonts w:hint="eastAsia" w:ascii="仿宋_GB2312" w:hAnsi="仿宋_GB2312" w:eastAsia="仿宋_GB2312" w:cs="仿宋_GB2312"/>
                <w:szCs w:val="21"/>
              </w:rPr>
              <w:t>），内包装物的杀菌设备或设施，异物探测设备，全自动小包装设备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776" w:type="dxa"/>
            <w:vMerge w:val="continue"/>
            <w:vAlign w:val="center"/>
          </w:tcPr>
          <w:p>
            <w:pPr>
              <w:jc w:val="center"/>
              <w:rPr>
                <w:rFonts w:ascii="仿宋_GB2312" w:hAnsi="仿宋_GB2312" w:eastAsia="仿宋_GB2312" w:cs="仿宋_GB2312"/>
                <w:kern w:val="0"/>
                <w:szCs w:val="21"/>
              </w:rPr>
            </w:pP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bCs/>
                <w:kern w:val="0"/>
                <w:szCs w:val="21"/>
              </w:rPr>
              <w:t>3.</w:t>
            </w:r>
            <w:r>
              <w:rPr>
                <w:rFonts w:hint="eastAsia" w:ascii="仿宋_GB2312" w:hAnsi="仿宋_GB2312" w:eastAsia="仿宋_GB2312" w:cs="仿宋_GB2312"/>
                <w:bCs/>
                <w:color w:val="000000"/>
                <w:szCs w:val="21"/>
              </w:rPr>
              <w:t>调制乳粉干湿复合工艺：</w:t>
            </w:r>
            <w:r>
              <w:rPr>
                <w:rFonts w:hint="eastAsia" w:ascii="仿宋_GB2312" w:hAnsi="仿宋_GB2312" w:eastAsia="仿宋_GB2312" w:cs="仿宋_GB2312"/>
                <w:color w:val="000000"/>
                <w:szCs w:val="21"/>
              </w:rPr>
              <w:t>应具备湿法工艺除成品包装外的全部生产设备和干法工艺必需的生产设备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乳清粉和乳清蛋白粉</w:t>
            </w:r>
          </w:p>
        </w:tc>
        <w:tc>
          <w:tcPr>
            <w:tcW w:w="739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乳清储存罐，热交换设备（需要时），离心分离机或旋转式过滤器（需要时），颗粒收集罐（需要时），稀奶油分离设备（需要时），杀菌设备，脱盐设备（根据工艺需要），浓缩设备，喷雾干燥设备，包装设备，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加油乳清粉</w:t>
            </w:r>
          </w:p>
        </w:tc>
        <w:tc>
          <w:tcPr>
            <w:tcW w:w="739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配料设备，均质设备，杀菌设备，蒸发设备（需要时），喷雾干燥设备，包装设备，全自动CIP清洗设备(清洗过程全自动控制)等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炼乳</w:t>
            </w: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预处理设备</w:t>
            </w:r>
            <w:r>
              <w:rPr>
                <w:rFonts w:hint="eastAsia" w:ascii="仿宋_GB2312" w:hAnsi="仿宋_GB2312" w:eastAsia="仿宋_GB2312" w:cs="仿宋_GB2312"/>
                <w:szCs w:val="21"/>
              </w:rPr>
              <w:t>（以乳粉为原料的产品除外）：</w:t>
            </w:r>
            <w:r>
              <w:rPr>
                <w:rFonts w:hint="eastAsia" w:ascii="仿宋_GB2312" w:hAnsi="仿宋_GB2312" w:eastAsia="仿宋_GB2312" w:cs="仿宋_GB2312"/>
                <w:kern w:val="0"/>
                <w:szCs w:val="21"/>
              </w:rPr>
              <w:t>原料奶运输设备、过滤设备、</w:t>
            </w:r>
            <w:r>
              <w:rPr>
                <w:rFonts w:hint="eastAsia" w:ascii="仿宋_GB2312" w:hAnsi="仿宋_GB2312" w:eastAsia="仿宋_GB2312" w:cs="仿宋_GB2312"/>
                <w:szCs w:val="21"/>
              </w:rPr>
              <w:t>储奶罐</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净乳设备（总加工能力不应小于5t/h）</w:t>
            </w:r>
            <w:r>
              <w:rPr>
                <w:rFonts w:hint="eastAsia" w:ascii="仿宋_GB2312" w:hAnsi="仿宋_GB2312" w:eastAsia="仿宋_GB2312" w:cs="仿宋_GB2312"/>
                <w:kern w:val="0"/>
                <w:szCs w:val="21"/>
              </w:rPr>
              <w:t>，均质设备（</w:t>
            </w:r>
            <w:r>
              <w:rPr>
                <w:rFonts w:hint="eastAsia" w:ascii="仿宋_GB2312" w:hAnsi="仿宋_GB2312" w:eastAsia="仿宋_GB2312" w:cs="仿宋_GB2312"/>
                <w:szCs w:val="21"/>
              </w:rPr>
              <w:t>总加工能力不应小于5t/h，调制炼乳除外），杀菌设备，浓缩或闪蒸设备，结晶罐及制冷设备（加糖炼乳适用），灌装设备，灭菌设备（需要时），全自动CIP清洗设备(清洗过程全自动控制)等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食品工业用浓缩乳</w:t>
            </w: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原料奶运输设备，过滤设备，冷却设备（需要时），储奶罐，净乳设备、均质设备（需要时）、浓缩设备、制冷设备、灌装设备、</w:t>
            </w:r>
            <w:r>
              <w:rPr>
                <w:rFonts w:hint="eastAsia" w:ascii="仿宋_GB2312" w:hAnsi="仿宋_GB2312" w:eastAsia="仿宋_GB2312" w:cs="仿宋_GB2312"/>
                <w:szCs w:val="21"/>
              </w:rPr>
              <w:t>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奶油、稀奶油和无水奶油</w:t>
            </w: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预处理设备（用稀奶油生产无水奶油除外）：原料奶运输设备、过滤设备、</w:t>
            </w:r>
            <w:r>
              <w:rPr>
                <w:rFonts w:hint="eastAsia" w:ascii="仿宋_GB2312" w:hAnsi="仿宋_GB2312" w:eastAsia="仿宋_GB2312" w:cs="仿宋_GB2312"/>
                <w:szCs w:val="21"/>
              </w:rPr>
              <w:t>储奶罐</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净乳设备，冷却设备，脂肪分离设备，杀菌或灭菌设备，发酵设备（根据工艺需要），灌装设备（稀奶油适用），压炼设备，包装设备，真空干燥设备（无水奶油适用），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干酪</w:t>
            </w:r>
          </w:p>
        </w:tc>
        <w:tc>
          <w:tcPr>
            <w:tcW w:w="7397" w:type="dxa"/>
            <w:vAlign w:val="center"/>
          </w:tcPr>
          <w:p>
            <w:pPr>
              <w:spacing w:line="240" w:lineRule="auto"/>
              <w:rPr>
                <w:rFonts w:ascii="仿宋_GB2312" w:hAnsi="仿宋_GB2312" w:eastAsia="仿宋_GB2312" w:cs="仿宋_GB2312"/>
                <w:b/>
                <w:szCs w:val="21"/>
              </w:rPr>
            </w:pPr>
            <w:r>
              <w:rPr>
                <w:rFonts w:hint="eastAsia" w:ascii="仿宋_GB2312" w:hAnsi="仿宋_GB2312" w:eastAsia="仿宋_GB2312" w:cs="仿宋_GB2312"/>
                <w:kern w:val="0"/>
                <w:szCs w:val="21"/>
              </w:rPr>
              <w:t>预处理设备：原料奶运输设备、过滤设备、</w:t>
            </w:r>
            <w:r>
              <w:rPr>
                <w:rFonts w:hint="eastAsia" w:ascii="仿宋_GB2312" w:hAnsi="仿宋_GB2312" w:eastAsia="仿宋_GB2312" w:cs="仿宋_GB2312"/>
                <w:szCs w:val="21"/>
              </w:rPr>
              <w:t>冷却设备、储奶罐、净乳设备，杀菌设备，搅拌设备，凝乳设备，压榨设备，制冷设备，全自动CIP清洗设备(清洗过程全自动控制)等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再制干酪</w:t>
            </w:r>
          </w:p>
        </w:tc>
        <w:tc>
          <w:tcPr>
            <w:tcW w:w="739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计量设备，混料罐，热融设备，杀菌设备，包装（灌装）设备，全自动CIP清洗设备(清洗过程全自动控制)等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脱脂牛（羊）初乳粉</w:t>
            </w: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szCs w:val="21"/>
              </w:rPr>
              <w:t>制冷设备，净乳设备，离心脱脂设备（需要时），浓缩设备，杀菌或除菌设备，低温干燥设备，包装设备，全自动CIP清洗设备(清洗过程全自动控制)等。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脱脂牛（羊）初乳</w:t>
            </w:r>
          </w:p>
        </w:tc>
        <w:tc>
          <w:tcPr>
            <w:tcW w:w="7397" w:type="dxa"/>
            <w:vAlign w:val="center"/>
          </w:tcPr>
          <w:p>
            <w:pPr>
              <w:rPr>
                <w:rFonts w:ascii="仿宋_GB2312" w:hAnsi="仿宋_GB2312" w:eastAsia="仿宋_GB2312" w:cs="仿宋_GB2312"/>
                <w:b/>
                <w:szCs w:val="21"/>
              </w:rPr>
            </w:pPr>
            <w:r>
              <w:rPr>
                <w:rFonts w:hint="eastAsia" w:ascii="仿宋_GB2312" w:hAnsi="仿宋_GB2312" w:eastAsia="仿宋_GB2312" w:cs="仿宋_GB2312"/>
                <w:szCs w:val="21"/>
              </w:rPr>
              <w:t>制冷设备，净乳设备，离心脱脂设备，膜浓缩设备，膜除菌设备，无菌灌装设备，全自动CIP清洗设备(清洗过程全自动控制)等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酪蛋白</w:t>
            </w:r>
          </w:p>
        </w:tc>
        <w:tc>
          <w:tcPr>
            <w:tcW w:w="739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离心脱脂设备，杀菌设备，凝乳设备，膜设备（膜分离适用），洗涤设备，固液分离设备，干燥设备，粉处理设备等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乳糖</w:t>
            </w:r>
          </w:p>
        </w:tc>
        <w:tc>
          <w:tcPr>
            <w:tcW w:w="7397" w:type="dxa"/>
            <w:vAlign w:val="center"/>
          </w:tcPr>
          <w:p>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三相离心机、巴氏杀菌、蒸发器、结晶罐、倾析分离器、干燥设备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地方特色乳制品</w:t>
            </w:r>
          </w:p>
        </w:tc>
        <w:tc>
          <w:tcPr>
            <w:tcW w:w="7397" w:type="dxa"/>
            <w:vAlign w:val="center"/>
          </w:tcPr>
          <w:p>
            <w:pPr>
              <w:rPr>
                <w:rFonts w:ascii="仿宋_GB2312" w:hAnsi="仿宋_GB2312" w:eastAsia="仿宋_GB2312" w:cs="仿宋_GB2312"/>
                <w:szCs w:val="21"/>
              </w:rPr>
            </w:pPr>
            <w:r>
              <w:rPr>
                <w:rFonts w:hint="eastAsia" w:ascii="仿宋_GB2312" w:hAnsi="仿宋_GB2312" w:eastAsia="仿宋_GB2312" w:cs="仿宋_GB2312"/>
                <w:kern w:val="0"/>
                <w:szCs w:val="21"/>
              </w:rPr>
              <w:t>预处理设备</w:t>
            </w:r>
            <w:r>
              <w:rPr>
                <w:rFonts w:hint="eastAsia" w:ascii="仿宋_GB2312" w:hAnsi="仿宋_GB2312" w:eastAsia="仿宋_GB2312" w:cs="仿宋_GB2312"/>
                <w:szCs w:val="21"/>
              </w:rPr>
              <w:t>（以乳粉为原料的产品除外）</w:t>
            </w:r>
            <w:r>
              <w:rPr>
                <w:rFonts w:hint="eastAsia" w:ascii="仿宋_GB2312" w:hAnsi="仿宋_GB2312" w:eastAsia="仿宋_GB2312" w:cs="仿宋_GB2312"/>
                <w:kern w:val="0"/>
                <w:szCs w:val="21"/>
              </w:rPr>
              <w:t>：原料奶运输设备、过滤设备、冷冻设备、冷却设备、</w:t>
            </w:r>
            <w:r>
              <w:rPr>
                <w:rFonts w:hint="eastAsia" w:ascii="仿宋_GB2312" w:hAnsi="仿宋_GB2312" w:eastAsia="仿宋_GB2312" w:cs="仿宋_GB2312"/>
                <w:szCs w:val="21"/>
              </w:rPr>
              <w:t>储奶罐、净乳设备，杀菌设备、灌装或包装设备等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gridSpan w:val="2"/>
            <w:vAlign w:val="center"/>
          </w:tcPr>
          <w:p>
            <w:pPr>
              <w:jc w:val="left"/>
              <w:rPr>
                <w:rFonts w:ascii="仿宋_GB2312" w:hAnsi="Times New Roman" w:eastAsia="仿宋_GB2312"/>
                <w:kern w:val="0"/>
                <w:sz w:val="24"/>
              </w:rPr>
            </w:pPr>
            <w:r>
              <w:rPr>
                <w:rFonts w:hint="eastAsia" w:ascii="仿宋_GB2312" w:hAnsi="Times New Roman" w:eastAsia="仿宋_GB2312"/>
                <w:kern w:val="0"/>
                <w:szCs w:val="21"/>
              </w:rPr>
              <w:t>注：</w:t>
            </w:r>
            <w:r>
              <w:rPr>
                <w:rFonts w:hint="eastAsia" w:ascii="仿宋_GB2312" w:hAnsi="仿宋" w:eastAsia="仿宋_GB2312"/>
                <w:kern w:val="0"/>
                <w:szCs w:val="21"/>
              </w:rPr>
              <w:t>本表所列设备设施为企业基本设备设施，可根据实际生产情况合理增加或</w:t>
            </w:r>
            <w:r>
              <w:rPr>
                <w:rFonts w:ascii="仿宋_GB2312" w:hAnsi="仿宋" w:eastAsia="仿宋_GB2312"/>
                <w:kern w:val="0"/>
                <w:szCs w:val="21"/>
              </w:rPr>
              <w:t>减少</w:t>
            </w:r>
            <w:r>
              <w:rPr>
                <w:rFonts w:hint="eastAsia" w:ascii="仿宋_GB2312" w:hAnsi="仿宋" w:eastAsia="仿宋_GB2312"/>
                <w:kern w:val="0"/>
                <w:szCs w:val="21"/>
              </w:rPr>
              <w:t>。</w:t>
            </w:r>
          </w:p>
        </w:tc>
      </w:tr>
    </w:tbl>
    <w:p>
      <w:pPr>
        <w:spacing w:line="560" w:lineRule="exact"/>
        <w:rPr>
          <w:rFonts w:ascii="仿宋_GB2312" w:eastAsia="仿宋_GB2312" w:cs="新宋体"/>
          <w:b/>
          <w:color w:val="000000"/>
          <w:sz w:val="32"/>
          <w:szCs w:val="32"/>
        </w:rPr>
      </w:pPr>
      <w:r>
        <w:rPr>
          <w:rFonts w:hint="eastAsia" w:cs="新宋体"/>
          <w:b/>
          <w:color w:val="000000"/>
          <w:sz w:val="30"/>
          <w:szCs w:val="30"/>
        </w:rPr>
        <w:t xml:space="preserve">   </w:t>
      </w:r>
      <w:r>
        <w:rPr>
          <w:rFonts w:hint="eastAsia" w:ascii="黑体" w:hAnsi="黑体" w:eastAsia="黑体" w:cs="黑体"/>
          <w:bCs/>
          <w:color w:val="000000"/>
          <w:sz w:val="32"/>
          <w:szCs w:val="32"/>
        </w:rPr>
        <w:t xml:space="preserve"> 第十四条</w:t>
      </w:r>
      <w:r>
        <w:rPr>
          <w:rFonts w:hint="eastAsia" w:cs="新宋体"/>
          <w:b/>
          <w:color w:val="000000"/>
          <w:sz w:val="32"/>
          <w:szCs w:val="32"/>
        </w:rPr>
        <w:t xml:space="preserve"> </w:t>
      </w:r>
      <w:r>
        <w:rPr>
          <w:rFonts w:hint="eastAsia" w:ascii="仿宋_GB2312" w:eastAsia="仿宋_GB2312" w:cs="新宋体"/>
          <w:bCs/>
          <w:color w:val="000000"/>
          <w:sz w:val="32"/>
          <w:szCs w:val="32"/>
        </w:rPr>
        <w:t>设备维护保养完好，其性能与精度符合生产工艺要求。直接接触生产原辅料的易损设备应定期检查并记录。</w:t>
      </w:r>
    </w:p>
    <w:p>
      <w:pPr>
        <w:adjustRightInd w:val="0"/>
        <w:snapToGrid w:val="0"/>
        <w:spacing w:line="560" w:lineRule="exact"/>
        <w:ind w:firstLine="630"/>
        <w:rPr>
          <w:rFonts w:ascii="仿宋_GB2312" w:eastAsia="仿宋_GB2312" w:cs="新宋体"/>
          <w:b/>
          <w:color w:val="000000"/>
          <w:sz w:val="32"/>
          <w:szCs w:val="32"/>
        </w:rPr>
      </w:pPr>
      <w:r>
        <w:rPr>
          <w:rFonts w:hint="eastAsia" w:ascii="黑体" w:hAnsi="黑体" w:eastAsia="黑体" w:cs="黑体"/>
          <w:bCs/>
          <w:kern w:val="0"/>
          <w:sz w:val="32"/>
          <w:szCs w:val="32"/>
        </w:rPr>
        <w:t>第十五条</w:t>
      </w:r>
      <w:r>
        <w:rPr>
          <w:rFonts w:hint="eastAsia" w:ascii="Times New Roman" w:hAnsi="Times New Roman" w:eastAsia="仿宋_GB2312"/>
          <w:b/>
          <w:kern w:val="0"/>
          <w:sz w:val="32"/>
          <w:szCs w:val="32"/>
        </w:rPr>
        <w:t xml:space="preserve"> </w:t>
      </w:r>
      <w:r>
        <w:rPr>
          <w:rFonts w:hint="eastAsia" w:ascii="仿宋_GB2312" w:eastAsia="仿宋_GB2312" w:cs="新宋体"/>
          <w:bCs/>
          <w:color w:val="000000"/>
          <w:sz w:val="32"/>
          <w:szCs w:val="32"/>
        </w:rPr>
        <w:t>生产设备、设施等应有运行状态标识，需检定或校准的生产设备、监控设备和检验设备应有检定或校准状态标识。固定管道设施应有管道内物料名称和流向标识。</w:t>
      </w:r>
      <w:r>
        <w:rPr>
          <w:rFonts w:asciiTheme="minorEastAsia" w:hAnsiTheme="minorEastAsia"/>
          <w:color w:val="000000"/>
          <w:sz w:val="28"/>
          <w:szCs w:val="28"/>
        </w:rPr>
        <w:br w:type="textWrapping"/>
      </w:r>
      <w:r>
        <w:rPr>
          <w:rFonts w:hint="eastAsia" w:ascii="华文中宋" w:hAnsi="华文中宋" w:eastAsia="华文中宋" w:cs="黑体"/>
          <w:kern w:val="0"/>
          <w:sz w:val="32"/>
          <w:szCs w:val="32"/>
        </w:rPr>
        <w:t xml:space="preserve">    </w:t>
      </w:r>
      <w:r>
        <w:rPr>
          <w:rFonts w:hint="eastAsia" w:ascii="黑体" w:hAnsi="黑体" w:eastAsia="黑体" w:cs="黑体"/>
          <w:bCs/>
          <w:kern w:val="0"/>
          <w:sz w:val="32"/>
          <w:szCs w:val="32"/>
        </w:rPr>
        <w:t>第十六条</w:t>
      </w:r>
      <w:r>
        <w:rPr>
          <w:rFonts w:hint="eastAsia" w:ascii="华文中宋" w:hAnsi="华文中宋" w:eastAsia="华文中宋" w:cs="黑体"/>
          <w:b/>
          <w:kern w:val="0"/>
          <w:sz w:val="32"/>
          <w:szCs w:val="32"/>
        </w:rPr>
        <w:t xml:space="preserve"> </w:t>
      </w:r>
      <w:r>
        <w:rPr>
          <w:rFonts w:hint="eastAsia" w:ascii="Times New Roman" w:eastAsia="仿宋_GB2312" w:hAnsiTheme="minorEastAsia"/>
          <w:bCs/>
          <w:kern w:val="0"/>
          <w:sz w:val="32"/>
          <w:szCs w:val="32"/>
        </w:rPr>
        <w:t>与原料、过程产品、成品直接或间接接触的所有设备</w:t>
      </w:r>
      <w:r>
        <w:rPr>
          <w:rFonts w:hint="eastAsia" w:ascii="Times New Roman" w:eastAsia="仿宋_GB2312" w:hAnsiTheme="minorEastAsia"/>
          <w:bCs/>
          <w:color w:val="auto"/>
          <w:kern w:val="0"/>
          <w:sz w:val="32"/>
          <w:szCs w:val="32"/>
          <w:highlight w:val="none"/>
        </w:rPr>
        <w:t>与用具</w:t>
      </w:r>
      <w:r>
        <w:rPr>
          <w:rFonts w:hint="eastAsia" w:ascii="Times New Roman" w:eastAsia="仿宋_GB2312" w:hAnsiTheme="minorEastAsia"/>
          <w:bCs/>
          <w:kern w:val="0"/>
          <w:sz w:val="32"/>
          <w:szCs w:val="32"/>
        </w:rPr>
        <w:t>材质应符合食品相关产品标准要求，</w:t>
      </w:r>
      <w:r>
        <w:rPr>
          <w:rFonts w:hint="eastAsia" w:ascii="Times New Roman" w:eastAsia="仿宋_GB2312" w:cs="Times New Roman" w:hAnsiTheme="minorEastAsia"/>
          <w:bCs/>
          <w:sz w:val="32"/>
          <w:szCs w:val="32"/>
        </w:rPr>
        <w:t>不</w:t>
      </w:r>
      <w:r>
        <w:rPr>
          <w:rFonts w:hint="eastAsia" w:ascii="Times New Roman" w:eastAsia="仿宋_GB2312" w:hAnsiTheme="minorEastAsia"/>
          <w:bCs/>
          <w:sz w:val="32"/>
          <w:szCs w:val="32"/>
        </w:rPr>
        <w:t>应</w:t>
      </w:r>
      <w:r>
        <w:rPr>
          <w:rFonts w:hint="eastAsia" w:ascii="Times New Roman" w:eastAsia="仿宋_GB2312" w:cs="Times New Roman" w:hAnsiTheme="minorEastAsia"/>
          <w:bCs/>
          <w:sz w:val="32"/>
          <w:szCs w:val="32"/>
        </w:rPr>
        <w:t>使用竹、木质工具</w:t>
      </w:r>
      <w:r>
        <w:rPr>
          <w:rFonts w:hint="eastAsia" w:ascii="Times New Roman" w:eastAsia="仿宋_GB2312" w:hAnsiTheme="minorEastAsia"/>
          <w:bCs/>
          <w:sz w:val="32"/>
          <w:szCs w:val="32"/>
        </w:rPr>
        <w:t>。</w:t>
      </w:r>
    </w:p>
    <w:p>
      <w:pPr>
        <w:spacing w:line="560" w:lineRule="exact"/>
        <w:rPr>
          <w:rFonts w:cs="新宋体"/>
          <w:bCs/>
          <w:color w:val="000000"/>
          <w:sz w:val="32"/>
          <w:szCs w:val="32"/>
        </w:rPr>
      </w:pPr>
      <w:r>
        <w:rPr>
          <w:rFonts w:hint="eastAsia" w:ascii="华文中宋" w:hAnsi="华文中宋" w:eastAsia="华文中宋" w:cs="Times New Roman"/>
          <w:kern w:val="0"/>
          <w:sz w:val="32"/>
          <w:szCs w:val="32"/>
        </w:rPr>
        <w:t xml:space="preserve">   </w:t>
      </w:r>
      <w:r>
        <w:rPr>
          <w:rFonts w:hint="eastAsia" w:ascii="黑体" w:hAnsi="黑体" w:eastAsia="黑体" w:cs="黑体"/>
          <w:bCs/>
          <w:kern w:val="0"/>
          <w:sz w:val="32"/>
          <w:szCs w:val="32"/>
        </w:rPr>
        <w:t xml:space="preserve"> 第十七条</w:t>
      </w:r>
      <w:r>
        <w:rPr>
          <w:rFonts w:hint="eastAsia" w:ascii="Times New Roman" w:hAnsi="Times New Roman" w:eastAsia="仿宋_GB2312"/>
          <w:b/>
          <w:kern w:val="0"/>
          <w:sz w:val="32"/>
          <w:szCs w:val="32"/>
        </w:rPr>
        <w:t xml:space="preserve"> </w:t>
      </w:r>
      <w:r>
        <w:rPr>
          <w:rFonts w:hint="eastAsia" w:ascii="仿宋_GB2312" w:eastAsia="仿宋_GB2312" w:hAnsiTheme="minorEastAsia"/>
          <w:bCs/>
          <w:kern w:val="0"/>
          <w:sz w:val="32"/>
          <w:szCs w:val="32"/>
        </w:rPr>
        <w:t>供水设施应能保证食品加工用水水质符合《</w:t>
      </w:r>
      <w:r>
        <w:rPr>
          <w:rFonts w:hint="eastAsia" w:ascii="仿宋_GB2312" w:hAnsi="Times New Roman" w:eastAsia="仿宋_GB2312"/>
          <w:bCs/>
          <w:sz w:val="32"/>
          <w:szCs w:val="32"/>
        </w:rPr>
        <w:t>生活饮用水卫生标准</w:t>
      </w:r>
      <w:r>
        <w:rPr>
          <w:rFonts w:hint="eastAsia" w:ascii="仿宋_GB2312" w:eastAsia="仿宋_GB2312" w:hAnsiTheme="minorEastAsia"/>
          <w:bCs/>
          <w:kern w:val="0"/>
          <w:sz w:val="32"/>
          <w:szCs w:val="32"/>
        </w:rPr>
        <w:t>》（GB 5749）及国家相关规定。自备水源的供水设施中使用的涉及饮用水卫生安全产品还应符合国家相关规定。</w:t>
      </w:r>
      <w:r>
        <w:rPr>
          <w:rFonts w:hint="eastAsia" w:ascii="仿宋_GB2312" w:eastAsia="仿宋_GB2312" w:cs="新宋体"/>
          <w:bCs/>
          <w:color w:val="000000"/>
          <w:sz w:val="32"/>
          <w:szCs w:val="32"/>
        </w:rPr>
        <w:t>食品加工用水与其他不与食品接触用水（如间接冷却水、污水或废水等）输送管路应完全分离，各管路系统应明确标识以便区分。</w:t>
      </w:r>
    </w:p>
    <w:p>
      <w:pPr>
        <w:adjustRightInd w:val="0"/>
        <w:snapToGrid w:val="0"/>
        <w:spacing w:line="560" w:lineRule="exact"/>
        <w:rPr>
          <w:rFonts w:ascii="仿宋_GB2312" w:eastAsia="仿宋_GB2312" w:cs="新宋体"/>
          <w:b/>
          <w:color w:val="000000"/>
          <w:sz w:val="32"/>
          <w:szCs w:val="32"/>
        </w:rPr>
      </w:pPr>
      <w:r>
        <w:rPr>
          <w:rFonts w:hint="eastAsia" w:ascii="华文中宋" w:hAnsi="华文中宋" w:eastAsia="华文中宋" w:cs="Times New Roman"/>
          <w:kern w:val="0"/>
          <w:sz w:val="32"/>
          <w:szCs w:val="32"/>
        </w:rPr>
        <w:t xml:space="preserve">    </w:t>
      </w:r>
      <w:r>
        <w:rPr>
          <w:rFonts w:hint="eastAsia" w:ascii="黑体" w:hAnsi="黑体" w:eastAsia="黑体" w:cs="黑体"/>
          <w:bCs/>
          <w:kern w:val="0"/>
          <w:sz w:val="32"/>
          <w:szCs w:val="32"/>
        </w:rPr>
        <w:t>第十八条</w:t>
      </w:r>
      <w:r>
        <w:rPr>
          <w:rFonts w:hint="eastAsia" w:ascii="华文中宋" w:hAnsi="华文中宋" w:eastAsia="华文中宋" w:cs="Times New Roman"/>
          <w:b/>
          <w:kern w:val="0"/>
          <w:sz w:val="32"/>
          <w:szCs w:val="32"/>
        </w:rPr>
        <w:t xml:space="preserve"> </w:t>
      </w:r>
      <w:r>
        <w:rPr>
          <w:rFonts w:hint="eastAsia" w:ascii="Times New Roman" w:eastAsia="仿宋_GB2312" w:hAnsiTheme="minorEastAsia"/>
          <w:bCs/>
          <w:kern w:val="0"/>
          <w:sz w:val="32"/>
          <w:szCs w:val="32"/>
        </w:rPr>
        <w:t>有合理的排水设施和废水处理设施，排水流向应由清洁程度要求高的区域流向清洁程度要求低的区域，并有防止废水逆流的设计，排水系统入口应安装带水封的地漏，以防止固体废弃物进入及浊气逸出。</w:t>
      </w:r>
      <w:r>
        <w:rPr>
          <w:rFonts w:hint="eastAsia" w:ascii="仿宋_GB2312" w:eastAsia="仿宋_GB2312" w:cs="新宋体"/>
          <w:bCs/>
          <w:color w:val="000000"/>
          <w:sz w:val="32"/>
          <w:szCs w:val="32"/>
        </w:rPr>
        <w:t>污水在排放前应经过净化处理。</w:t>
      </w:r>
    </w:p>
    <w:p>
      <w:pPr>
        <w:spacing w:line="560" w:lineRule="exact"/>
        <w:rPr>
          <w:rFonts w:ascii="仿宋_GB2312" w:eastAsia="仿宋_GB2312" w:cs="新宋体"/>
          <w:b/>
          <w:color w:val="000000"/>
          <w:sz w:val="30"/>
          <w:szCs w:val="30"/>
        </w:rPr>
      </w:pPr>
      <w:r>
        <w:rPr>
          <w:rFonts w:hint="eastAsia" w:cs="新宋体"/>
          <w:b/>
          <w:sz w:val="30"/>
          <w:szCs w:val="30"/>
        </w:rPr>
        <w:t xml:space="preserve">    </w:t>
      </w:r>
      <w:r>
        <w:rPr>
          <w:rFonts w:hint="eastAsia" w:ascii="黑体" w:hAnsi="黑体" w:eastAsia="黑体" w:cs="黑体"/>
          <w:bCs/>
          <w:kern w:val="0"/>
          <w:sz w:val="32"/>
          <w:szCs w:val="32"/>
        </w:rPr>
        <w:t>第十九条</w:t>
      </w:r>
      <w:r>
        <w:rPr>
          <w:rFonts w:hint="eastAsia" w:ascii="Times New Roman" w:eastAsia="仿宋_GB2312" w:hAnsiTheme="minorEastAsia"/>
          <w:b/>
          <w:kern w:val="0"/>
          <w:sz w:val="32"/>
          <w:szCs w:val="32"/>
        </w:rPr>
        <w:t xml:space="preserve"> </w:t>
      </w:r>
      <w:r>
        <w:rPr>
          <w:rFonts w:hint="eastAsia" w:ascii="仿宋_GB2312" w:eastAsia="仿宋_GB2312" w:hAnsiTheme="minorEastAsia"/>
          <w:bCs/>
          <w:kern w:val="0"/>
          <w:sz w:val="32"/>
          <w:szCs w:val="32"/>
        </w:rPr>
        <w:t>应配备生产设备和工器具的清洁和消毒用设备、设施、用具，</w:t>
      </w:r>
      <w:r>
        <w:rPr>
          <w:rFonts w:hint="eastAsia" w:ascii="仿宋_GB2312" w:eastAsia="仿宋_GB2312" w:cs="新宋体"/>
          <w:bCs/>
          <w:color w:val="000000"/>
          <w:sz w:val="32"/>
          <w:szCs w:val="32"/>
        </w:rPr>
        <w:t>放置在专用场所或区域妥善保管。</w:t>
      </w:r>
    </w:p>
    <w:p>
      <w:pPr>
        <w:adjustRightInd w:val="0"/>
        <w:snapToGrid w:val="0"/>
        <w:spacing w:line="560" w:lineRule="exact"/>
        <w:rPr>
          <w:rFonts w:cs="新宋体"/>
          <w:bCs/>
          <w:color w:val="000000"/>
          <w:sz w:val="32"/>
          <w:szCs w:val="32"/>
        </w:rPr>
      </w:pPr>
      <w:r>
        <w:rPr>
          <w:rFonts w:hint="eastAsia" w:ascii="华文中宋" w:hAnsi="华文中宋" w:eastAsia="华文中宋" w:cs="Times New Roman"/>
          <w:b/>
          <w:kern w:val="0"/>
          <w:sz w:val="32"/>
          <w:szCs w:val="32"/>
        </w:rPr>
        <w:t xml:space="preserve">    </w:t>
      </w:r>
      <w:r>
        <w:rPr>
          <w:rFonts w:hint="eastAsia" w:ascii="黑体" w:hAnsi="黑体" w:eastAsia="黑体" w:cs="黑体"/>
          <w:bCs/>
          <w:kern w:val="0"/>
          <w:sz w:val="32"/>
          <w:szCs w:val="32"/>
        </w:rPr>
        <w:t xml:space="preserve">第二十条 </w:t>
      </w:r>
      <w:r>
        <w:rPr>
          <w:rFonts w:hint="eastAsia" w:ascii="Times New Roman" w:eastAsia="仿宋_GB2312" w:hAnsiTheme="minorEastAsia"/>
          <w:bCs/>
          <w:kern w:val="0"/>
          <w:sz w:val="32"/>
          <w:szCs w:val="32"/>
        </w:rPr>
        <w:t>生产加工过程产生的废弃物应使用专用</w:t>
      </w:r>
      <w:r>
        <w:rPr>
          <w:rFonts w:hint="eastAsia" w:ascii="Times New Roman" w:eastAsia="仿宋_GB2312" w:hAnsiTheme="minorEastAsia"/>
          <w:bCs/>
          <w:kern w:val="0"/>
          <w:sz w:val="32"/>
          <w:szCs w:val="32"/>
          <w:highlight w:val="none"/>
        </w:rPr>
        <w:t>设施</w:t>
      </w:r>
      <w:r>
        <w:rPr>
          <w:rFonts w:hint="eastAsia" w:ascii="Times New Roman" w:eastAsia="仿宋_GB2312" w:hAnsiTheme="minorEastAsia"/>
          <w:bCs/>
          <w:kern w:val="0"/>
          <w:sz w:val="32"/>
          <w:szCs w:val="32"/>
        </w:rPr>
        <w:t>存放，</w:t>
      </w:r>
      <w:r>
        <w:rPr>
          <w:rFonts w:ascii="Times New Roman" w:eastAsia="仿宋_GB2312" w:hAnsiTheme="minorEastAsia"/>
          <w:bCs/>
          <w:kern w:val="0"/>
          <w:sz w:val="32"/>
          <w:szCs w:val="32"/>
        </w:rPr>
        <w:t>盛装废弃物的容器不</w:t>
      </w:r>
      <w:r>
        <w:rPr>
          <w:rFonts w:hint="eastAsia" w:ascii="Times New Roman" w:eastAsia="仿宋_GB2312" w:hAnsiTheme="minorEastAsia"/>
          <w:bCs/>
          <w:kern w:val="0"/>
          <w:sz w:val="32"/>
          <w:szCs w:val="32"/>
        </w:rPr>
        <w:t>应</w:t>
      </w:r>
      <w:r>
        <w:rPr>
          <w:rFonts w:ascii="Times New Roman" w:eastAsia="仿宋_GB2312" w:hAnsiTheme="minorEastAsia"/>
          <w:bCs/>
          <w:kern w:val="0"/>
          <w:sz w:val="32"/>
          <w:szCs w:val="32"/>
        </w:rPr>
        <w:t>与盛装产品与原料的容器混用，应有明显标</w:t>
      </w:r>
      <w:r>
        <w:rPr>
          <w:rFonts w:hint="eastAsia" w:ascii="Times New Roman" w:eastAsia="仿宋_GB2312" w:hAnsiTheme="minorEastAsia"/>
          <w:bCs/>
          <w:kern w:val="0"/>
          <w:sz w:val="32"/>
          <w:szCs w:val="32"/>
        </w:rPr>
        <w:t>识</w:t>
      </w:r>
      <w:r>
        <w:rPr>
          <w:rFonts w:ascii="Times New Roman" w:eastAsia="仿宋_GB2312" w:hAnsiTheme="minorEastAsia"/>
          <w:bCs/>
          <w:kern w:val="0"/>
          <w:sz w:val="32"/>
          <w:szCs w:val="32"/>
        </w:rPr>
        <w:t>。</w:t>
      </w:r>
      <w:r>
        <w:rPr>
          <w:rFonts w:hint="eastAsia" w:ascii="Times New Roman" w:eastAsia="仿宋_GB2312" w:hAnsiTheme="minorEastAsia"/>
          <w:bCs/>
          <w:kern w:val="0"/>
          <w:sz w:val="32"/>
          <w:szCs w:val="32"/>
        </w:rPr>
        <w:t>清洁作业区内应设有废弃物专用运送通道。</w:t>
      </w:r>
      <w:r>
        <w:rPr>
          <w:rFonts w:hint="eastAsia" w:ascii="仿宋_GB2312" w:eastAsia="仿宋_GB2312" w:cs="新宋体"/>
          <w:bCs/>
          <w:color w:val="000000"/>
          <w:sz w:val="32"/>
          <w:szCs w:val="32"/>
        </w:rPr>
        <w:t>废弃物放置场所不应有不良气味或有毒、有害气体逸出，废弃物应定期清除，易腐败、变质的废弃物应及时清除。</w:t>
      </w:r>
    </w:p>
    <w:p>
      <w:pPr>
        <w:spacing w:line="560" w:lineRule="exact"/>
        <w:ind w:firstLine="640" w:firstLineChars="200"/>
        <w:rPr>
          <w:rFonts w:eastAsia="仿宋_GB2312"/>
          <w:b/>
          <w:color w:val="000000"/>
          <w:sz w:val="32"/>
          <w:szCs w:val="32"/>
        </w:rPr>
      </w:pPr>
      <w:r>
        <w:rPr>
          <w:rFonts w:hint="eastAsia" w:ascii="黑体" w:hAnsi="黑体" w:eastAsia="黑体" w:cs="黑体"/>
          <w:bCs/>
          <w:kern w:val="0"/>
          <w:sz w:val="32"/>
          <w:szCs w:val="32"/>
        </w:rPr>
        <w:t>第二十一条</w:t>
      </w:r>
      <w:r>
        <w:rPr>
          <w:rFonts w:hint="eastAsia" w:ascii="Times New Roman" w:hAnsi="Times New Roman" w:eastAsia="仿宋_GB2312"/>
          <w:b/>
          <w:kern w:val="0"/>
          <w:sz w:val="32"/>
          <w:szCs w:val="32"/>
        </w:rPr>
        <w:t xml:space="preserve"> </w:t>
      </w:r>
      <w:r>
        <w:rPr>
          <w:rFonts w:hint="eastAsia" w:ascii="仿宋_GB2312" w:eastAsia="仿宋_GB2312" w:cs="新宋体"/>
          <w:bCs/>
          <w:color w:val="000000"/>
          <w:sz w:val="32"/>
          <w:szCs w:val="32"/>
        </w:rPr>
        <w:t>准清洁作业区更衣室应设在生产作业区入口处，内部应设置足够数量的非手动式洗手、干手、消毒设施,</w:t>
      </w:r>
      <w:r>
        <w:rPr>
          <w:rFonts w:hint="eastAsia" w:ascii="仿宋_GB2312" w:eastAsia="仿宋_GB2312" w:hAnsiTheme="minorEastAsia"/>
          <w:bCs/>
          <w:kern w:val="0"/>
          <w:sz w:val="32"/>
          <w:szCs w:val="32"/>
        </w:rPr>
        <w:t>并</w:t>
      </w:r>
      <w:r>
        <w:rPr>
          <w:rFonts w:hint="eastAsia" w:ascii="仿宋_GB2312" w:hAnsi="黑体" w:eastAsia="仿宋_GB2312" w:cs="新宋体"/>
          <w:bCs/>
          <w:color w:val="000000"/>
          <w:sz w:val="32"/>
          <w:szCs w:val="32"/>
        </w:rPr>
        <w:t>在临近洗手设施的显著位置标示洗手消毒</w:t>
      </w:r>
      <w:r>
        <w:rPr>
          <w:rFonts w:hint="eastAsia" w:ascii="仿宋_GB2312" w:hAnsi="黑体" w:eastAsia="仿宋_GB2312" w:cs="新宋体"/>
          <w:bCs/>
          <w:sz w:val="32"/>
          <w:szCs w:val="32"/>
        </w:rPr>
        <w:t>程序</w:t>
      </w:r>
      <w:r>
        <w:rPr>
          <w:rFonts w:hint="eastAsia" w:ascii="仿宋_GB2312" w:hAnsi="黑体" w:eastAsia="仿宋_GB2312" w:cs="新宋体"/>
          <w:bCs/>
          <w:color w:val="000000"/>
          <w:sz w:val="32"/>
          <w:szCs w:val="32"/>
        </w:rPr>
        <w:t>。</w:t>
      </w:r>
      <w:r>
        <w:rPr>
          <w:rFonts w:hint="eastAsia" w:eastAsia="仿宋_GB2312"/>
          <w:bCs/>
          <w:color w:val="000000"/>
          <w:sz w:val="32"/>
          <w:szCs w:val="32"/>
        </w:rPr>
        <w:t>进入准清洁作业区的更衣、洗手、消毒顺序应符合作业指导书的规定，一般流程为换鞋、更外衣、洗手、更清洁工作服、手消毒。</w:t>
      </w:r>
    </w:p>
    <w:p>
      <w:pPr>
        <w:adjustRightInd w:val="0"/>
        <w:snapToGrid w:val="0"/>
        <w:spacing w:line="560" w:lineRule="exact"/>
        <w:rPr>
          <w:rFonts w:ascii="仿宋_GB2312" w:hAnsi="仿宋_GB2312" w:eastAsia="仿宋_GB2312" w:cs="仿宋_GB2312"/>
          <w:bCs/>
          <w:kern w:val="0"/>
          <w:sz w:val="32"/>
          <w:szCs w:val="32"/>
        </w:rPr>
      </w:pPr>
      <w:r>
        <w:rPr>
          <w:rFonts w:hint="eastAsia" w:ascii="华文中宋" w:hAnsi="华文中宋" w:eastAsia="华文中宋" w:cs="Times New Roman"/>
          <w:kern w:val="0"/>
          <w:sz w:val="32"/>
          <w:szCs w:val="32"/>
        </w:rPr>
        <w:t xml:space="preserve">   </w:t>
      </w:r>
      <w:r>
        <w:rPr>
          <w:rFonts w:hint="eastAsia" w:ascii="黑体" w:hAnsi="黑体" w:eastAsia="黑体" w:cs="黑体"/>
          <w:kern w:val="0"/>
          <w:sz w:val="32"/>
          <w:szCs w:val="32"/>
        </w:rPr>
        <w:t xml:space="preserve"> 第二十二条</w:t>
      </w:r>
      <w:r>
        <w:rPr>
          <w:rFonts w:hint="eastAsia" w:ascii="Times New Roman" w:hAnsi="Times New Roman" w:eastAsia="仿宋_GB2312"/>
          <w:b/>
          <w:kern w:val="0"/>
          <w:sz w:val="32"/>
          <w:szCs w:val="32"/>
        </w:rPr>
        <w:t xml:space="preserve"> </w:t>
      </w:r>
      <w:r>
        <w:rPr>
          <w:rFonts w:hint="eastAsia" w:ascii="仿宋_GB2312" w:hAnsi="仿宋_GB2312" w:eastAsia="仿宋_GB2312" w:cs="仿宋_GB2312"/>
          <w:bCs/>
          <w:kern w:val="0"/>
          <w:sz w:val="32"/>
          <w:szCs w:val="32"/>
        </w:rPr>
        <w:t>清洁作业区的入口应设置二次更衣室，并设置阻拦式鞋柜、洁净服独立存放及消毒设施等。</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进入清洁作业区的更衣顺序为换鞋、更一更工服（或不更）、手消毒(或洗手和手消毒)、更清洁工作服、手消毒。更清洁工作服的房间的空气洁净度应达到清洁作业区的要求。二次更衣后，需经过互锁式气闸室或风淋室进入清洁作业区。</w:t>
      </w:r>
    </w:p>
    <w:p>
      <w:pPr>
        <w:adjustRightInd w:val="0"/>
        <w:snapToGrid w:val="0"/>
        <w:spacing w:line="560" w:lineRule="exact"/>
        <w:ind w:firstLine="640" w:firstLineChars="200"/>
        <w:rPr>
          <w:rFonts w:ascii="Times New Roman" w:eastAsia="仿宋_GB2312" w:hAnsiTheme="minorEastAsia"/>
          <w:b/>
          <w:kern w:val="0"/>
          <w:sz w:val="32"/>
          <w:szCs w:val="32"/>
        </w:rPr>
      </w:pPr>
      <w:r>
        <w:rPr>
          <w:rFonts w:hint="eastAsia" w:ascii="黑体" w:hAnsi="黑体" w:eastAsia="黑体" w:cs="黑体"/>
          <w:bCs/>
          <w:kern w:val="0"/>
          <w:sz w:val="32"/>
          <w:szCs w:val="32"/>
        </w:rPr>
        <w:t>第二十三条</w:t>
      </w:r>
      <w:r>
        <w:rPr>
          <w:rFonts w:hint="eastAsia" w:ascii="Times New Roman" w:hAnsi="Times New Roman" w:eastAsia="仿宋_GB2312" w:cs="黑体"/>
          <w:b/>
          <w:kern w:val="0"/>
          <w:sz w:val="32"/>
          <w:szCs w:val="32"/>
        </w:rPr>
        <w:t xml:space="preserve"> </w:t>
      </w:r>
      <w:r>
        <w:rPr>
          <w:rFonts w:hint="eastAsia" w:ascii="Times New Roman" w:eastAsia="仿宋_GB2312" w:hAnsiTheme="minorEastAsia"/>
          <w:bCs/>
          <w:kern w:val="0"/>
          <w:sz w:val="32"/>
          <w:szCs w:val="32"/>
        </w:rPr>
        <w:t>清洁作业区的员工工作服应为连体式或一次性工作服，并配备帽子、口罩和工作鞋。准清洁作业区、一般作业区的员工工作服应符合相应区域卫生要求，并配备帽子和工作鞋。</w:t>
      </w:r>
    </w:p>
    <w:p>
      <w:pPr>
        <w:adjustRightInd w:val="0"/>
        <w:snapToGrid w:val="0"/>
        <w:spacing w:line="560" w:lineRule="exact"/>
        <w:ind w:firstLine="640" w:firstLineChars="200"/>
        <w:rPr>
          <w:rFonts w:ascii="Times New Roman" w:eastAsia="仿宋_GB2312" w:hAnsiTheme="minorEastAsia"/>
          <w:bCs/>
          <w:kern w:val="0"/>
          <w:sz w:val="32"/>
          <w:szCs w:val="32"/>
        </w:rPr>
      </w:pPr>
      <w:r>
        <w:rPr>
          <w:rFonts w:hint="eastAsia" w:ascii="黑体" w:hAnsi="黑体" w:eastAsia="黑体" w:cs="黑体"/>
          <w:bCs/>
          <w:kern w:val="0"/>
          <w:sz w:val="32"/>
          <w:szCs w:val="32"/>
        </w:rPr>
        <w:t xml:space="preserve">第二十四条 </w:t>
      </w:r>
      <w:r>
        <w:rPr>
          <w:rFonts w:hint="eastAsia" w:ascii="仿宋_GB2312" w:eastAsia="仿宋_GB2312" w:cs="新宋体"/>
          <w:bCs/>
          <w:color w:val="000000"/>
          <w:sz w:val="32"/>
          <w:szCs w:val="32"/>
        </w:rPr>
        <w:t>根据需要设置的卫生间应保持清洁，有洗手设施，不得与生产、包装或储存等区域直接连通，且</w:t>
      </w:r>
      <w:r>
        <w:rPr>
          <w:rFonts w:hint="eastAsia" w:ascii="Times New Roman" w:eastAsia="仿宋_GB2312" w:hAnsiTheme="minorEastAsia"/>
          <w:bCs/>
          <w:kern w:val="0"/>
          <w:sz w:val="32"/>
          <w:szCs w:val="32"/>
        </w:rPr>
        <w:t xml:space="preserve">卫生间的门、窗不得与生产作业区域入口相对。厂房内设置的卫生间应有洗手、消毒设施。 </w:t>
      </w:r>
    </w:p>
    <w:p>
      <w:pPr>
        <w:spacing w:line="560" w:lineRule="exact"/>
        <w:rPr>
          <w:rFonts w:ascii="Times New Roman" w:eastAsia="仿宋_GB2312" w:cs="仿宋" w:hAnsiTheme="minorEastAsia"/>
          <w:bCs/>
          <w:kern w:val="0"/>
          <w:sz w:val="32"/>
          <w:szCs w:val="32"/>
        </w:rPr>
      </w:pPr>
      <w:r>
        <w:rPr>
          <w:rFonts w:hint="eastAsia" w:ascii="华文中宋" w:hAnsi="华文中宋" w:eastAsia="华文中宋" w:cs="Times New Roman"/>
          <w:b/>
          <w:kern w:val="0"/>
          <w:sz w:val="32"/>
          <w:szCs w:val="32"/>
        </w:rPr>
        <w:t xml:space="preserve">    </w:t>
      </w:r>
      <w:r>
        <w:rPr>
          <w:rFonts w:hint="eastAsia" w:ascii="黑体" w:hAnsi="黑体" w:eastAsia="黑体" w:cs="黑体"/>
          <w:bCs/>
          <w:kern w:val="0"/>
          <w:sz w:val="32"/>
          <w:szCs w:val="32"/>
        </w:rPr>
        <w:t>第二十五条</w:t>
      </w:r>
      <w:r>
        <w:rPr>
          <w:rFonts w:ascii="仿宋_GB2312" w:hAnsi="华文中宋" w:eastAsia="仿宋_GB2312" w:cs="Times New Roman"/>
          <w:bCs/>
          <w:kern w:val="0"/>
          <w:sz w:val="32"/>
          <w:szCs w:val="32"/>
        </w:rPr>
        <w:t xml:space="preserve"> </w:t>
      </w:r>
      <w:r>
        <w:rPr>
          <w:rFonts w:hint="eastAsia" w:ascii="仿宋_GB2312" w:eastAsia="仿宋_GB2312" w:cs="新宋体"/>
          <w:bCs/>
          <w:sz w:val="32"/>
          <w:szCs w:val="32"/>
        </w:rPr>
        <w:t>吹入干燥塔的空气和</w:t>
      </w:r>
      <w:r>
        <w:rPr>
          <w:rFonts w:hint="eastAsia" w:ascii="仿宋_GB2312" w:eastAsia="仿宋_GB2312" w:cs="新宋体"/>
          <w:bCs/>
          <w:color w:val="000000"/>
          <w:sz w:val="32"/>
          <w:szCs w:val="32"/>
        </w:rPr>
        <w:t>流化床的洁净低温空气应经过滤设施过滤，必要时应配置除湿装置或设施。过滤设施应定期检查、更换，符合生产控制要求。排出干燥塔的气体应经过除尘处理。</w:t>
      </w:r>
    </w:p>
    <w:p>
      <w:pPr>
        <w:adjustRightInd w:val="0"/>
        <w:snapToGrid w:val="0"/>
        <w:spacing w:line="560" w:lineRule="exact"/>
        <w:ind w:firstLine="640" w:firstLineChars="200"/>
        <w:rPr>
          <w:rFonts w:ascii="Times New Roman" w:eastAsia="仿宋_GB2312" w:hAnsiTheme="minorEastAsia"/>
          <w:bCs/>
          <w:kern w:val="0"/>
          <w:sz w:val="32"/>
          <w:szCs w:val="32"/>
        </w:rPr>
      </w:pPr>
      <w:r>
        <w:rPr>
          <w:rFonts w:hint="eastAsia" w:ascii="黑体" w:hAnsi="黑体" w:eastAsia="黑体" w:cs="黑体"/>
          <w:bCs/>
          <w:kern w:val="0"/>
          <w:sz w:val="32"/>
          <w:szCs w:val="32"/>
        </w:rPr>
        <w:t>第二十六条</w:t>
      </w:r>
      <w:r>
        <w:rPr>
          <w:rFonts w:hint="eastAsia" w:ascii="黑体" w:hAnsi="黑体" w:eastAsia="黑体" w:cs="黑体"/>
          <w:b/>
          <w:kern w:val="0"/>
          <w:sz w:val="32"/>
          <w:szCs w:val="32"/>
        </w:rPr>
        <w:t xml:space="preserve"> </w:t>
      </w:r>
      <w:r>
        <w:rPr>
          <w:rFonts w:hint="eastAsia" w:ascii="仿宋_GB2312" w:hAnsi="黑体" w:eastAsia="仿宋_GB2312" w:cs="黑体"/>
          <w:bCs/>
          <w:kern w:val="0"/>
          <w:sz w:val="32"/>
          <w:szCs w:val="32"/>
        </w:rPr>
        <w:t>生产</w:t>
      </w:r>
      <w:r>
        <w:rPr>
          <w:rFonts w:hint="eastAsia" w:ascii="Times New Roman" w:eastAsia="仿宋_GB2312" w:hAnsiTheme="minorEastAsia"/>
          <w:bCs/>
          <w:kern w:val="0"/>
          <w:sz w:val="32"/>
          <w:szCs w:val="32"/>
        </w:rPr>
        <w:t>企业应根据需要在生产及辅助车间配备空气调节和净化系统，使温度、相对湿度与生产工艺相适应，保证空气由清洁度要求高的区域流向清洁度要求低的区域，并形成一定的压力梯度。空气净化系统运行情况应按规定进行检查维护，有运行记录。</w:t>
      </w:r>
    </w:p>
    <w:p>
      <w:pPr>
        <w:adjustRightInd w:val="0"/>
        <w:snapToGrid w:val="0"/>
        <w:spacing w:line="560" w:lineRule="exact"/>
        <w:ind w:firstLine="640" w:firstLineChars="200"/>
        <w:rPr>
          <w:rFonts w:ascii="Times New Roman" w:eastAsia="仿宋_GB2312" w:hAnsiTheme="minorEastAsia"/>
          <w:bCs/>
          <w:kern w:val="0"/>
          <w:sz w:val="32"/>
          <w:szCs w:val="32"/>
        </w:rPr>
      </w:pPr>
      <w:r>
        <w:rPr>
          <w:rFonts w:hint="eastAsia" w:ascii="Times New Roman" w:eastAsia="仿宋_GB2312" w:hAnsiTheme="minorEastAsia"/>
          <w:bCs/>
          <w:kern w:val="0"/>
          <w:sz w:val="32"/>
          <w:szCs w:val="32"/>
        </w:rPr>
        <w:t>清洁作业区的供风系统应独立设置，采用初效、中效、高效（亚高效）过滤器三级过滤，保持清洁作业区室内正压。</w:t>
      </w:r>
    </w:p>
    <w:p>
      <w:pPr>
        <w:adjustRightInd w:val="0"/>
        <w:snapToGrid w:val="0"/>
        <w:spacing w:line="560" w:lineRule="exact"/>
        <w:ind w:firstLine="640" w:firstLineChars="200"/>
        <w:rPr>
          <w:rFonts w:ascii="Times New Roman" w:eastAsia="仿宋_GB2312" w:hAnsiTheme="minorEastAsia"/>
          <w:b/>
          <w:kern w:val="0"/>
          <w:sz w:val="32"/>
          <w:szCs w:val="32"/>
        </w:rPr>
      </w:pPr>
      <w:r>
        <w:rPr>
          <w:rFonts w:hint="eastAsia" w:ascii="黑体" w:hAnsi="黑体" w:eastAsia="黑体" w:cs="黑体"/>
          <w:bCs/>
          <w:kern w:val="0"/>
          <w:sz w:val="32"/>
          <w:szCs w:val="32"/>
        </w:rPr>
        <w:t>第二十七条</w:t>
      </w:r>
      <w:r>
        <w:rPr>
          <w:rFonts w:hint="eastAsia" w:ascii="华文中宋" w:hAnsi="华文中宋" w:eastAsia="华文中宋" w:cs="Times New Roman"/>
          <w:b/>
          <w:kern w:val="0"/>
          <w:sz w:val="32"/>
          <w:szCs w:val="32"/>
        </w:rPr>
        <w:t xml:space="preserve"> </w:t>
      </w:r>
      <w:r>
        <w:rPr>
          <w:rFonts w:ascii="Times New Roman" w:eastAsia="仿宋_GB2312" w:hAnsiTheme="minorEastAsia"/>
          <w:bCs/>
          <w:kern w:val="0"/>
          <w:sz w:val="32"/>
          <w:szCs w:val="32"/>
        </w:rPr>
        <w:t>对于通过风动管道运输的原料或产品进入清洁作业区</w:t>
      </w:r>
      <w:r>
        <w:rPr>
          <w:rFonts w:hint="eastAsia" w:ascii="Times New Roman" w:eastAsia="仿宋_GB2312" w:hAnsiTheme="minorEastAsia"/>
          <w:bCs/>
          <w:kern w:val="0"/>
          <w:sz w:val="32"/>
          <w:szCs w:val="32"/>
        </w:rPr>
        <w:t>的空气</w:t>
      </w:r>
      <w:r>
        <w:rPr>
          <w:rFonts w:ascii="Times New Roman" w:eastAsia="仿宋_GB2312" w:hAnsiTheme="minorEastAsia"/>
          <w:bCs/>
          <w:kern w:val="0"/>
          <w:sz w:val="32"/>
          <w:szCs w:val="32"/>
        </w:rPr>
        <w:t>，需要设计和安装适当的空气过滤系统。</w:t>
      </w:r>
    </w:p>
    <w:p>
      <w:pPr>
        <w:adjustRightInd w:val="0"/>
        <w:snapToGrid w:val="0"/>
        <w:spacing w:line="560" w:lineRule="exact"/>
        <w:rPr>
          <w:rFonts w:ascii="Times New Roman" w:eastAsia="仿宋_GB2312" w:hAnsiTheme="minorEastAsia"/>
          <w:b/>
          <w:kern w:val="0"/>
          <w:sz w:val="32"/>
          <w:szCs w:val="32"/>
        </w:rPr>
      </w:pPr>
      <w:r>
        <w:rPr>
          <w:rFonts w:hint="eastAsia" w:ascii="华文中宋" w:hAnsi="华文中宋" w:eastAsia="华文中宋" w:cs="Times New Roman"/>
          <w:b/>
          <w:kern w:val="0"/>
          <w:sz w:val="32"/>
          <w:szCs w:val="32"/>
        </w:rPr>
        <w:t xml:space="preserve">    </w:t>
      </w:r>
      <w:r>
        <w:rPr>
          <w:rFonts w:hint="eastAsia" w:ascii="黑体" w:hAnsi="黑体" w:eastAsia="黑体" w:cs="黑体"/>
          <w:bCs/>
          <w:kern w:val="0"/>
          <w:sz w:val="32"/>
          <w:szCs w:val="32"/>
        </w:rPr>
        <w:t>第二十八条</w:t>
      </w:r>
      <w:r>
        <w:rPr>
          <w:rFonts w:hint="eastAsia" w:ascii="Times New Roman" w:hAnsi="Times New Roman" w:eastAsia="仿宋_GB2312" w:cs="Times New Roman"/>
          <w:bCs/>
          <w:kern w:val="0"/>
          <w:sz w:val="32"/>
          <w:szCs w:val="32"/>
        </w:rPr>
        <w:t xml:space="preserve"> </w:t>
      </w:r>
      <w:r>
        <w:rPr>
          <w:rFonts w:hint="eastAsia" w:ascii="Times New Roman" w:eastAsia="仿宋_GB2312" w:hAnsiTheme="minorEastAsia"/>
          <w:bCs/>
          <w:kern w:val="0"/>
          <w:sz w:val="32"/>
          <w:szCs w:val="32"/>
        </w:rPr>
        <w:t>生产车间内有臭味及气体（蒸汽或有害气体）或有产生大量湿、热空气的生产场所，应采用足够能力的单向排风设备，通风口必须装有易清洗耐腐蚀网罩。有粉尘污染的区域，应有适当的收集或控制装置。</w:t>
      </w:r>
    </w:p>
    <w:p>
      <w:pPr>
        <w:spacing w:line="560" w:lineRule="exact"/>
        <w:rPr>
          <w:rFonts w:ascii="仿宋_GB2312" w:eastAsia="仿宋_GB2312" w:cs="新宋体"/>
          <w:bCs/>
          <w:color w:val="000000"/>
          <w:sz w:val="32"/>
          <w:szCs w:val="32"/>
        </w:rPr>
      </w:pPr>
      <w:r>
        <w:rPr>
          <w:rFonts w:hint="eastAsia" w:ascii="华文中宋" w:hAnsi="华文中宋" w:eastAsia="华文中宋" w:cs="新宋体"/>
          <w:b/>
          <w:sz w:val="32"/>
          <w:szCs w:val="32"/>
        </w:rPr>
        <w:t xml:space="preserve">    </w:t>
      </w:r>
      <w:r>
        <w:rPr>
          <w:rFonts w:hint="eastAsia" w:ascii="黑体" w:hAnsi="黑体" w:eastAsia="黑体" w:cs="黑体"/>
          <w:bCs/>
          <w:sz w:val="32"/>
          <w:szCs w:val="32"/>
        </w:rPr>
        <w:t>第二十九条</w:t>
      </w:r>
      <w:r>
        <w:rPr>
          <w:rFonts w:hint="eastAsia" w:cs="新宋体"/>
          <w:b/>
          <w:color w:val="000000"/>
          <w:sz w:val="32"/>
          <w:szCs w:val="32"/>
        </w:rPr>
        <w:t xml:space="preserve"> </w:t>
      </w:r>
      <w:r>
        <w:rPr>
          <w:rFonts w:hint="eastAsia" w:ascii="仿宋_GB2312" w:eastAsia="仿宋_GB2312" w:cs="新宋体"/>
          <w:bCs/>
          <w:color w:val="000000"/>
          <w:sz w:val="32"/>
          <w:szCs w:val="32"/>
        </w:rPr>
        <w:t>厂房内应有充足的自然采光或人工照明设施，光泽应使食品呈现真实颜色，亮度应能满足生产和操作需要。如需在暴露食品和原料的正上方安装照明设施，应使用安全型照明设施或采取防护措施。</w:t>
      </w:r>
    </w:p>
    <w:p>
      <w:pPr>
        <w:spacing w:line="560" w:lineRule="exact"/>
        <w:rPr>
          <w:rFonts w:ascii="Times New Roman" w:eastAsia="仿宋_GB2312" w:hAnsiTheme="minorEastAsia"/>
          <w:b/>
          <w:kern w:val="0"/>
          <w:sz w:val="32"/>
          <w:szCs w:val="32"/>
        </w:rPr>
      </w:pPr>
      <w:r>
        <w:rPr>
          <w:rFonts w:hint="eastAsia" w:ascii="华文中宋" w:hAnsi="华文中宋" w:eastAsia="华文中宋" w:cs="黑体"/>
          <w:b/>
          <w:kern w:val="0"/>
          <w:sz w:val="32"/>
          <w:szCs w:val="32"/>
        </w:rPr>
        <w:t xml:space="preserve">   </w:t>
      </w:r>
      <w:r>
        <w:rPr>
          <w:rFonts w:hint="eastAsia" w:ascii="黑体" w:hAnsi="黑体" w:eastAsia="黑体" w:cs="黑体"/>
          <w:bCs/>
          <w:kern w:val="0"/>
          <w:sz w:val="32"/>
          <w:szCs w:val="32"/>
        </w:rPr>
        <w:t xml:space="preserve"> 第三十条 </w:t>
      </w:r>
      <w:r>
        <w:rPr>
          <w:rFonts w:hint="eastAsia" w:ascii="仿宋_GB2312" w:hAnsi="仿宋_GB2312" w:eastAsia="仿宋_GB2312" w:cs="仿宋_GB2312"/>
          <w:bCs/>
          <w:kern w:val="0"/>
          <w:sz w:val="32"/>
          <w:szCs w:val="32"/>
        </w:rPr>
        <w:t>企业申明出厂检验自检或部分自检的，应具备满足自检检验项目所需的检验设备和设施。检验设备的数量应与自检能力相适应。</w:t>
      </w:r>
      <w:r>
        <w:rPr>
          <w:rFonts w:hint="eastAsia" w:ascii="仿宋_GB2312" w:hAnsi="仿宋_GB2312" w:eastAsia="仿宋_GB2312" w:cs="仿宋_GB2312"/>
          <w:bCs/>
          <w:color w:val="000000"/>
          <w:sz w:val="32"/>
          <w:szCs w:val="32"/>
        </w:rPr>
        <w:t>企业可以使用经验证的非国家标准方法检验设备，应保证检测结果准确。</w:t>
      </w:r>
      <w:r>
        <w:rPr>
          <w:rFonts w:hint="eastAsia" w:ascii="仿宋_GB2312" w:hAnsi="仿宋_GB2312" w:eastAsia="仿宋_GB2312" w:cs="仿宋_GB2312"/>
          <w:bCs/>
          <w:kern w:val="0"/>
          <w:sz w:val="32"/>
          <w:szCs w:val="32"/>
        </w:rPr>
        <w:t>检验项目参见附件2《乳制品生产企业检验项目表》。</w:t>
      </w:r>
    </w:p>
    <w:p>
      <w:pPr>
        <w:pStyle w:val="3"/>
        <w:adjustRightInd w:val="0"/>
        <w:snapToGrid w:val="0"/>
        <w:spacing w:line="560" w:lineRule="exact"/>
        <w:rPr>
          <w:rFonts w:ascii="华文中宋" w:hAnsi="华文中宋" w:eastAsia="华文中宋"/>
          <w:sz w:val="32"/>
          <w:szCs w:val="32"/>
        </w:rPr>
      </w:pPr>
      <w:bookmarkStart w:id="4" w:name="_Toc493510002"/>
      <w:r>
        <w:rPr>
          <w:rFonts w:hint="eastAsia" w:ascii="黑体" w:hAnsi="黑体" w:eastAsia="黑体" w:cs="黑体"/>
          <w:sz w:val="32"/>
          <w:szCs w:val="32"/>
        </w:rPr>
        <w:t>第四章  设备布局与工艺流程</w:t>
      </w:r>
      <w:bookmarkEnd w:id="4"/>
    </w:p>
    <w:p>
      <w:pPr>
        <w:adjustRightInd w:val="0"/>
        <w:snapToGrid w:val="0"/>
        <w:spacing w:line="560" w:lineRule="exact"/>
        <w:ind w:firstLine="640" w:firstLineChars="200"/>
        <w:rPr>
          <w:rFonts w:ascii="仿宋_GB2312" w:hAnsi="Times New Roman" w:eastAsia="仿宋_GB2312" w:cs="Times New Roman"/>
          <w:bCs/>
          <w:kern w:val="0"/>
          <w:sz w:val="32"/>
          <w:szCs w:val="32"/>
        </w:rPr>
      </w:pPr>
      <w:r>
        <w:rPr>
          <w:rFonts w:hint="eastAsia" w:ascii="黑体" w:hAnsi="黑体" w:eastAsia="黑体" w:cs="黑体"/>
          <w:bCs/>
          <w:kern w:val="0"/>
          <w:sz w:val="32"/>
          <w:szCs w:val="32"/>
        </w:rPr>
        <w:t>第三十一条</w:t>
      </w:r>
      <w:r>
        <w:rPr>
          <w:rFonts w:hint="eastAsia" w:ascii="仿宋_GB2312" w:hAnsi="Times New Roman" w:eastAsia="仿宋_GB2312"/>
          <w:b/>
          <w:kern w:val="0"/>
          <w:sz w:val="32"/>
          <w:szCs w:val="32"/>
        </w:rPr>
        <w:t xml:space="preserve"> </w:t>
      </w:r>
      <w:r>
        <w:rPr>
          <w:rFonts w:hint="eastAsia" w:ascii="仿宋_GB2312" w:eastAsia="仿宋_GB2312" w:hAnsiTheme="minorEastAsia"/>
          <w:bCs/>
          <w:kern w:val="0"/>
          <w:sz w:val="32"/>
          <w:szCs w:val="32"/>
        </w:rPr>
        <w:t>生产设备的布局、安装和维护必须符合工艺需要，便于操作、清洁、维护和消毒或灭菌。停用设备应有明显标志，</w:t>
      </w:r>
      <w:r>
        <w:rPr>
          <w:rFonts w:hint="eastAsia" w:ascii="仿宋_GB2312" w:eastAsia="仿宋_GB2312" w:hAnsiTheme="minorEastAsia"/>
          <w:bCs/>
          <w:sz w:val="32"/>
          <w:szCs w:val="32"/>
        </w:rPr>
        <w:t>其清洁、消毒</w:t>
      </w:r>
      <w:r>
        <w:rPr>
          <w:rFonts w:hint="eastAsia" w:ascii="仿宋_GB2312" w:eastAsia="仿宋_GB2312" w:hAnsiTheme="minorEastAsia"/>
          <w:bCs/>
          <w:kern w:val="0"/>
          <w:sz w:val="32"/>
          <w:szCs w:val="32"/>
        </w:rPr>
        <w:t>应</w:t>
      </w:r>
      <w:r>
        <w:rPr>
          <w:rFonts w:hint="eastAsia" w:ascii="仿宋_GB2312" w:eastAsia="仿宋_GB2312" w:hAnsiTheme="minorEastAsia"/>
          <w:bCs/>
          <w:sz w:val="32"/>
          <w:szCs w:val="32"/>
        </w:rPr>
        <w:t>符合相应</w:t>
      </w:r>
      <w:r>
        <w:rPr>
          <w:rFonts w:hint="eastAsia" w:ascii="仿宋_GB2312" w:eastAsia="仿宋_GB2312" w:hAnsiTheme="minorEastAsia"/>
          <w:bCs/>
          <w:kern w:val="0"/>
          <w:sz w:val="32"/>
          <w:szCs w:val="32"/>
        </w:rPr>
        <w:t>生产作业区</w:t>
      </w:r>
      <w:r>
        <w:rPr>
          <w:rFonts w:hint="eastAsia" w:ascii="仿宋_GB2312" w:eastAsia="仿宋_GB2312" w:hAnsiTheme="minorEastAsia"/>
          <w:bCs/>
          <w:sz w:val="32"/>
          <w:szCs w:val="32"/>
        </w:rPr>
        <w:t>洁净度的要求，防止其对环境造成污染</w:t>
      </w:r>
      <w:r>
        <w:rPr>
          <w:rFonts w:hint="eastAsia" w:ascii="仿宋_GB2312" w:eastAsia="仿宋_GB2312" w:hAnsiTheme="minorEastAsia"/>
          <w:bCs/>
          <w:kern w:val="0"/>
          <w:sz w:val="32"/>
          <w:szCs w:val="32"/>
        </w:rPr>
        <w:t>。</w:t>
      </w:r>
      <w:r>
        <w:rPr>
          <w:rFonts w:hint="eastAsia" w:ascii="仿宋_GB2312" w:hAnsi="Times New Roman" w:eastAsia="仿宋_GB2312" w:cs="Times New Roman"/>
          <w:bCs/>
          <w:kern w:val="0"/>
          <w:sz w:val="32"/>
          <w:szCs w:val="32"/>
        </w:rPr>
        <w:t xml:space="preserve"> </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第三十二条</w:t>
      </w:r>
      <w:r>
        <w:rPr>
          <w:rFonts w:hint="eastAsia" w:ascii="仿宋_GB2312" w:hAnsi="Times New Roman" w:eastAsia="仿宋_GB2312"/>
          <w:b/>
          <w:kern w:val="0"/>
          <w:sz w:val="32"/>
          <w:szCs w:val="32"/>
        </w:rPr>
        <w:t xml:space="preserve"> </w:t>
      </w:r>
      <w:r>
        <w:rPr>
          <w:rFonts w:hint="eastAsia" w:ascii="仿宋_GB2312" w:hAnsi="仿宋_GB2312" w:eastAsia="仿宋_GB2312" w:cs="仿宋_GB2312"/>
          <w:bCs/>
          <w:kern w:val="0"/>
          <w:sz w:val="32"/>
          <w:szCs w:val="32"/>
        </w:rPr>
        <w:t>生产设备的配备应与产品加工工艺相符，</w:t>
      </w:r>
      <w:r>
        <w:rPr>
          <w:rFonts w:hint="eastAsia" w:ascii="仿宋_GB2312" w:eastAsia="仿宋_GB2312" w:hAnsiTheme="minorEastAsia"/>
          <w:bCs/>
          <w:sz w:val="32"/>
          <w:szCs w:val="32"/>
        </w:rPr>
        <w:t>乳制品基本工艺流程及关键控制环节见表4。</w:t>
      </w:r>
      <w:r>
        <w:rPr>
          <w:rFonts w:hint="eastAsia" w:ascii="仿宋_GB2312" w:hAnsi="仿宋_GB2312" w:eastAsia="仿宋_GB2312" w:cs="仿宋_GB2312"/>
          <w:bCs/>
          <w:kern w:val="0"/>
          <w:sz w:val="32"/>
          <w:szCs w:val="32"/>
        </w:rPr>
        <w:t>若企业采用不同于表4所列的生产工艺，生产设备应与生产工艺相适应。</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全脂奶粉、脱脂奶粉、部分脱脂奶粉不得采用干法工艺生产。</w:t>
      </w:r>
      <w:r>
        <w:rPr>
          <w:rFonts w:hint="eastAsia" w:ascii="仿宋_GB2312" w:hAnsi="仿宋_GB2312" w:eastAsia="仿宋_GB2312" w:cs="仿宋_GB2312"/>
          <w:bCs/>
          <w:kern w:val="0"/>
          <w:sz w:val="32"/>
          <w:szCs w:val="32"/>
        </w:rPr>
        <w:t>调制乳粉干湿法复合工艺是指湿法工艺流程（除包装外）与相应的干法工艺流程相衔接，是一个完整的生产过程，其湿法工艺部分和干法工艺部分应在同一个厂区完成，湿法工艺部分生产的过程产品的暂存应在清洁作业区，如确有需要在一定周期内储存湿法工艺部分生产的过程产品的，可存放在库房专区。</w:t>
      </w:r>
    </w:p>
    <w:p>
      <w:pPr>
        <w:adjustRightInd w:val="0"/>
        <w:snapToGrid w:val="0"/>
        <w:spacing w:line="560" w:lineRule="exact"/>
        <w:jc w:val="center"/>
        <w:outlineLvl w:val="3"/>
        <w:rPr>
          <w:rFonts w:ascii="仿宋_GB2312" w:hAnsi="Times New Roman" w:eastAsia="仿宋_GB2312"/>
          <w:bCs/>
          <w:sz w:val="32"/>
          <w:szCs w:val="32"/>
        </w:rPr>
      </w:pPr>
      <w:r>
        <w:rPr>
          <w:rFonts w:hint="eastAsia" w:ascii="仿宋_GB2312" w:hAnsi="仿宋_GB2312" w:eastAsia="仿宋_GB2312" w:cs="仿宋_GB2312"/>
          <w:bCs/>
          <w:sz w:val="32"/>
          <w:szCs w:val="32"/>
        </w:rPr>
        <w:t>表4 乳制品基本工艺流程及关键控制环节</w:t>
      </w:r>
    </w:p>
    <w:tbl>
      <w:tblPr>
        <w:tblStyle w:val="29"/>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5549"/>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1483" w:type="dxa"/>
            <w:vAlign w:val="center"/>
          </w:tcPr>
          <w:p>
            <w:pPr>
              <w:widowControl/>
              <w:jc w:val="center"/>
              <w:rPr>
                <w:rFonts w:ascii="黑体" w:hAnsi="黑体" w:eastAsia="黑体"/>
                <w:kern w:val="0"/>
                <w:szCs w:val="21"/>
              </w:rPr>
            </w:pPr>
            <w:r>
              <w:rPr>
                <w:rFonts w:hint="eastAsia" w:ascii="黑体" w:hAnsi="黑体" w:eastAsia="黑体"/>
                <w:kern w:val="0"/>
                <w:szCs w:val="21"/>
              </w:rPr>
              <w:t>品种名称</w:t>
            </w:r>
          </w:p>
        </w:tc>
        <w:tc>
          <w:tcPr>
            <w:tcW w:w="5549" w:type="dxa"/>
            <w:vAlign w:val="center"/>
          </w:tcPr>
          <w:p>
            <w:pPr>
              <w:widowControl/>
              <w:jc w:val="center"/>
              <w:rPr>
                <w:rFonts w:ascii="黑体" w:hAnsi="黑体" w:eastAsia="黑体"/>
                <w:kern w:val="0"/>
                <w:szCs w:val="21"/>
              </w:rPr>
            </w:pPr>
            <w:r>
              <w:rPr>
                <w:rFonts w:hint="eastAsia" w:ascii="黑体" w:hAnsi="黑体" w:eastAsia="黑体"/>
                <w:kern w:val="0"/>
                <w:szCs w:val="21"/>
              </w:rPr>
              <w:t>基本工艺流程</w:t>
            </w:r>
          </w:p>
        </w:tc>
        <w:tc>
          <w:tcPr>
            <w:tcW w:w="2141" w:type="dxa"/>
            <w:vAlign w:val="center"/>
          </w:tcPr>
          <w:p>
            <w:pPr>
              <w:widowControl/>
              <w:jc w:val="center"/>
              <w:rPr>
                <w:rFonts w:ascii="黑体" w:hAnsi="黑体" w:eastAsia="黑体"/>
                <w:kern w:val="0"/>
                <w:szCs w:val="21"/>
              </w:rPr>
            </w:pPr>
            <w:r>
              <w:rPr>
                <w:rFonts w:hint="eastAsia" w:ascii="黑体" w:hAnsi="黑体" w:eastAsia="黑体"/>
                <w:kern w:val="0"/>
                <w:szCs w:val="21"/>
              </w:rPr>
              <w:t>生产过程关键控制环节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巴氏杀菌乳、高温杀菌乳</w:t>
            </w:r>
          </w:p>
          <w:p>
            <w:pPr>
              <w:rPr>
                <w:rFonts w:ascii="仿宋_GB2312" w:hAnsi="仿宋" w:eastAsia="仿宋_GB2312"/>
                <w:kern w:val="0"/>
                <w:sz w:val="24"/>
              </w:rPr>
            </w:pPr>
          </w:p>
        </w:tc>
        <w:tc>
          <w:tcPr>
            <w:tcW w:w="5549" w:type="dxa"/>
            <w:vAlign w:val="center"/>
          </w:tcPr>
          <w:p>
            <w:pPr>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bCs/>
                <w:sz w:val="24"/>
                <w:szCs w:val="24"/>
              </w:rPr>
              <w:t>1.巴氏杀菌乳、高温杀菌乳：</w:t>
            </w:r>
            <w:r>
              <w:rPr>
                <w:rFonts w:hint="eastAsia" w:ascii="仿宋_GB2312" w:hAnsi="仿宋_GB2312" w:eastAsia="仿宋_GB2312" w:cs="仿宋_GB2312"/>
                <w:sz w:val="24"/>
                <w:szCs w:val="24"/>
              </w:rPr>
              <w:t>原料乳→过滤→冷却（需要时）→储存→净乳→标准化（或采用脂肪分离工艺）→均质→巴氏杀菌/高温杀菌→冷却→灌装→冷藏</w:t>
            </w:r>
          </w:p>
          <w:p>
            <w:pPr>
              <w:rPr>
                <w:rFonts w:ascii="仿宋_GB2312" w:hAnsi="仿宋" w:eastAsia="仿宋_GB2312" w:cs="仿宋"/>
                <w:kern w:val="0"/>
                <w:sz w:val="24"/>
              </w:rPr>
            </w:pPr>
            <w:r>
              <w:rPr>
                <w:rFonts w:hint="eastAsia" w:ascii="仿宋_GB2312" w:hAnsi="仿宋_GB2312" w:eastAsia="仿宋_GB2312" w:cs="仿宋_GB2312"/>
                <w:sz w:val="24"/>
                <w:szCs w:val="24"/>
              </w:rPr>
              <w:t>2.分离脂肪的巴氏杀菌乳：原料乳→过滤→冷却（需要时）→储存→净乳→分离脂肪→巴氏杀菌及除菌（脂肪部分采用巴氏杀菌；脱脂滤液采用过滤或离心除菌）→混合及标准化→均质→冷却→灌装→冷藏</w:t>
            </w:r>
          </w:p>
        </w:tc>
        <w:tc>
          <w:tcPr>
            <w:tcW w:w="2141" w:type="dxa"/>
            <w:vMerge w:val="restart"/>
            <w:vAlign w:val="center"/>
          </w:tcPr>
          <w:p>
            <w:pPr>
              <w:rPr>
                <w:rFonts w:ascii="仿宋_GB2312" w:hAnsi="仿宋" w:eastAsia="仿宋_GB2312"/>
                <w:kern w:val="0"/>
                <w:sz w:val="24"/>
              </w:rPr>
            </w:pPr>
            <w:r>
              <w:rPr>
                <w:rFonts w:hint="eastAsia" w:ascii="仿宋_GB2312" w:hAnsi="仿宋" w:eastAsia="仿宋_GB2312"/>
                <w:kern w:val="0"/>
                <w:sz w:val="24"/>
              </w:rPr>
              <w:t>原料验收、标准化、杀菌或灭菌方式、灌装或无菌灌装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调制乳</w:t>
            </w:r>
          </w:p>
        </w:tc>
        <w:tc>
          <w:tcPr>
            <w:tcW w:w="5549" w:type="dxa"/>
            <w:vAlign w:val="center"/>
          </w:tcPr>
          <w:p>
            <w:pPr>
              <w:rPr>
                <w:rFonts w:ascii="仿宋_GB2312" w:hAnsi="仿宋_GB2312" w:eastAsia="仿宋_GB2312" w:cs="仿宋_GB2312"/>
                <w:bCs/>
                <w:sz w:val="24"/>
                <w:szCs w:val="24"/>
              </w:rPr>
            </w:pPr>
            <w:r>
              <w:rPr>
                <w:rFonts w:hint="eastAsia" w:ascii="仿宋_GB2312" w:hAnsi="仿宋_GB2312" w:eastAsia="仿宋_GB2312" w:cs="仿宋_GB2312"/>
                <w:sz w:val="24"/>
                <w:szCs w:val="24"/>
              </w:rPr>
              <w:t>原料乳→净乳→冷藏→标准化→预热→配料→均质→高温杀菌或其他杀菌、灭菌方式→冷却→灌装→冷藏（需冷藏的产品）</w:t>
            </w:r>
          </w:p>
        </w:tc>
        <w:tc>
          <w:tcPr>
            <w:tcW w:w="2141" w:type="dxa"/>
            <w:vMerge w:val="continue"/>
            <w:vAlign w:val="center"/>
          </w:tcPr>
          <w:p>
            <w:pPr>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灭菌乳</w:t>
            </w:r>
          </w:p>
          <w:p>
            <w:pPr>
              <w:rPr>
                <w:rFonts w:ascii="仿宋_GB2312" w:hAnsi="仿宋" w:eastAsia="仿宋_GB2312"/>
                <w:kern w:val="0"/>
                <w:sz w:val="24"/>
              </w:rPr>
            </w:pPr>
          </w:p>
        </w:tc>
        <w:tc>
          <w:tcPr>
            <w:tcW w:w="5549" w:type="dxa"/>
            <w:vAlign w:val="center"/>
          </w:tcPr>
          <w:p>
            <w:pPr>
              <w:adjustRightInd w:val="0"/>
              <w:snapToGrid w:val="0"/>
              <w:spacing w:line="240" w:lineRule="auto"/>
              <w:jc w:val="left"/>
              <w:rPr>
                <w:rFonts w:ascii="仿宋_GB2312" w:hAnsi="仿宋_GB2312" w:eastAsia="仿宋_GB2312" w:cs="仿宋_GB2312"/>
                <w:spacing w:val="-2"/>
                <w:sz w:val="24"/>
                <w:szCs w:val="24"/>
              </w:rPr>
            </w:pPr>
            <w:r>
              <w:rPr>
                <w:rFonts w:hint="eastAsia" w:ascii="仿宋_GB2312" w:hAnsi="仿宋_GB2312" w:eastAsia="仿宋_GB2312" w:cs="仿宋_GB2312"/>
                <w:sz w:val="24"/>
                <w:szCs w:val="24"/>
              </w:rPr>
              <w:t>1.超高温灭菌乳：</w:t>
            </w:r>
            <w:r>
              <w:rPr>
                <w:rFonts w:hint="eastAsia" w:ascii="仿宋_GB2312" w:hAnsi="仿宋_GB2312" w:eastAsia="仿宋_GB2312" w:cs="仿宋_GB2312"/>
                <w:kern w:val="0"/>
                <w:sz w:val="24"/>
                <w:szCs w:val="24"/>
              </w:rPr>
              <w:t>原料乳</w:t>
            </w:r>
            <w:r>
              <w:rPr>
                <w:rFonts w:hint="eastAsia" w:ascii="仿宋_GB2312" w:hAnsi="仿宋_GB2312" w:eastAsia="仿宋_GB2312" w:cs="仿宋_GB2312"/>
                <w:spacing w:val="-2"/>
                <w:sz w:val="24"/>
                <w:szCs w:val="24"/>
              </w:rPr>
              <w:t>→净乳→冷藏→标准化→预热→均质→超高温瞬时灭菌→冷却→无菌灌装→成品储存</w:t>
            </w:r>
          </w:p>
          <w:p>
            <w:pPr>
              <w:adjustRightInd w:val="0"/>
              <w:snapToGrid w:val="0"/>
              <w:jc w:val="left"/>
              <w:rPr>
                <w:rFonts w:ascii="仿宋_GB2312" w:hAnsi="仿宋_GB2312" w:eastAsia="仿宋_GB2312" w:cs="仿宋_GB2312"/>
                <w:bCs/>
                <w:sz w:val="24"/>
                <w:szCs w:val="24"/>
              </w:rPr>
            </w:pPr>
            <w:r>
              <w:rPr>
                <w:rFonts w:hint="eastAsia" w:ascii="仿宋_GB2312" w:hAnsi="仿宋_GB2312" w:eastAsia="仿宋_GB2312" w:cs="仿宋_GB2312"/>
                <w:spacing w:val="-2"/>
                <w:sz w:val="24"/>
                <w:szCs w:val="24"/>
              </w:rPr>
              <w:t>2.保持灭菌乳：</w:t>
            </w:r>
            <w:r>
              <w:rPr>
                <w:rFonts w:hint="eastAsia" w:ascii="仿宋_GB2312" w:hAnsi="仿宋_GB2312" w:eastAsia="仿宋_GB2312" w:cs="仿宋_GB2312"/>
                <w:kern w:val="0"/>
                <w:sz w:val="24"/>
                <w:szCs w:val="24"/>
              </w:rPr>
              <w:t>原料乳</w:t>
            </w:r>
            <w:r>
              <w:rPr>
                <w:rFonts w:hint="eastAsia" w:ascii="仿宋_GB2312" w:hAnsi="仿宋_GB2312" w:eastAsia="仿宋_GB2312" w:cs="仿宋_GB2312"/>
                <w:spacing w:val="-2"/>
                <w:sz w:val="24"/>
                <w:szCs w:val="24"/>
              </w:rPr>
              <w:t>→净乳→冷藏→标准化→预热→均质→灌装→保持灭菌→成品储存</w:t>
            </w:r>
          </w:p>
        </w:tc>
        <w:tc>
          <w:tcPr>
            <w:tcW w:w="2141" w:type="dxa"/>
            <w:vMerge w:val="continue"/>
            <w:vAlign w:val="center"/>
          </w:tcPr>
          <w:p>
            <w:pPr>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发酵乳</w:t>
            </w:r>
          </w:p>
        </w:tc>
        <w:tc>
          <w:tcPr>
            <w:tcW w:w="5549" w:type="dxa"/>
            <w:vAlign w:val="center"/>
          </w:tcPr>
          <w:p>
            <w:pPr>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1.凝固型：原料乳→净乳→冷藏→标准化→均质→杀菌→冷却→接入发酵菌种→灌装→发酵→冷藏</w:t>
            </w:r>
          </w:p>
          <w:p>
            <w:pPr>
              <w:adjustRightInd w:val="0"/>
              <w:snapToGrid w:val="0"/>
              <w:spacing w:line="24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2.搅拌型：原料乳→净乳→冷藏→标准化→均质→杀菌→冷却→接入发酵菌种→发酵→搅拌→杀菌（需热处理的产品）→冷却→灌装→冷藏</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原料验收、标准化、杀菌方式、发酵剂的制备、发酵、灌装</w:t>
            </w:r>
          </w:p>
          <w:p>
            <w:pPr>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乳粉</w:t>
            </w:r>
          </w:p>
        </w:tc>
        <w:tc>
          <w:tcPr>
            <w:tcW w:w="5549" w:type="dxa"/>
            <w:vAlign w:val="center"/>
          </w:tcPr>
          <w:p>
            <w:pPr>
              <w:adjustRightInd w:val="0"/>
              <w:snapToGrid w:val="0"/>
              <w:spacing w:line="240" w:lineRule="auto"/>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1.湿法工艺：</w:t>
            </w:r>
            <w:r>
              <w:rPr>
                <w:rFonts w:hint="eastAsia" w:ascii="仿宋_GB2312" w:hAnsi="仿宋_GB2312" w:eastAsia="仿宋_GB2312" w:cs="仿宋_GB2312"/>
                <w:sz w:val="24"/>
                <w:szCs w:val="24"/>
              </w:rPr>
              <w:t>原料乳→净乳→冷藏→标准化→均质→杀菌→浓缩→喷雾干燥→附聚、造粒或喷涂磷脂、冷却或筛粉、晾粉→包装</w:t>
            </w:r>
          </w:p>
          <w:p>
            <w:pPr>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2.干法工艺：拆包（脱外包）→内包装袋的清洁→隧道杀菌→原料粉称量→预混→混料→包装</w:t>
            </w:r>
            <w:r>
              <w:rPr>
                <w:rFonts w:hint="eastAsia" w:ascii="仿宋_GB2312" w:hAnsi="仿宋_GB2312" w:eastAsia="仿宋_GB2312" w:cs="仿宋_GB2312"/>
                <w:sz w:val="24"/>
              </w:rPr>
              <w:t>。</w:t>
            </w:r>
          </w:p>
          <w:p>
            <w:pPr>
              <w:adjustRightInd w:val="0"/>
              <w:snapToGrid w:val="0"/>
              <w:spacing w:line="240" w:lineRule="auto"/>
              <w:rPr>
                <w:rFonts w:ascii="仿宋_GB2312" w:hAnsi="仿宋" w:eastAsia="仿宋_GB2312" w:cs="仿宋"/>
                <w:kern w:val="0"/>
                <w:sz w:val="24"/>
              </w:rPr>
            </w:pPr>
            <w:r>
              <w:rPr>
                <w:rFonts w:hint="eastAsia" w:ascii="仿宋_GB2312" w:hAnsi="仿宋_GB2312" w:eastAsia="仿宋_GB2312" w:cs="仿宋_GB2312"/>
                <w:sz w:val="24"/>
                <w:szCs w:val="24"/>
              </w:rPr>
              <w:t>3.调制乳粉</w:t>
            </w:r>
            <w:r>
              <w:rPr>
                <w:rFonts w:hint="eastAsia" w:ascii="仿宋_GB2312" w:hAnsi="仿宋_GB2312" w:eastAsia="仿宋_GB2312" w:cs="仿宋_GB2312"/>
                <w:color w:val="000000"/>
                <w:sz w:val="24"/>
                <w:szCs w:val="24"/>
              </w:rPr>
              <w:t>干湿法复合工艺是指湿法工艺流程(除包装外)与相应的干法工艺流程相衔接，是一个完整的生产过程</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1.湿法工艺：原料验收、标准化、杀菌、浓缩、喷雾干燥、包装</w:t>
            </w:r>
          </w:p>
          <w:p>
            <w:pPr>
              <w:rPr>
                <w:rFonts w:ascii="仿宋_GB2312" w:hAnsi="仿宋" w:eastAsia="仿宋_GB2312"/>
                <w:kern w:val="0"/>
                <w:sz w:val="24"/>
              </w:rPr>
            </w:pPr>
            <w:r>
              <w:rPr>
                <w:rFonts w:hint="eastAsia" w:ascii="仿宋_GB2312" w:hAnsi="仿宋" w:eastAsia="仿宋_GB2312"/>
                <w:kern w:val="0"/>
                <w:sz w:val="24"/>
              </w:rPr>
              <w:t>2.干法工艺：原料验收、配料的称量、隧道杀菌、预混、混合、包装</w:t>
            </w:r>
          </w:p>
          <w:p>
            <w:pPr>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乳清粉、乳清蛋白粉、加油乳清粉</w:t>
            </w:r>
          </w:p>
        </w:tc>
        <w:tc>
          <w:tcPr>
            <w:tcW w:w="5549" w:type="dxa"/>
            <w:vAlign w:val="center"/>
          </w:tcPr>
          <w:p>
            <w:pPr>
              <w:adjustRightInd w:val="0"/>
              <w:snapToGrid w:val="0"/>
              <w:spacing w:line="24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1.乳清粉：乳清收集及储存→分离脂肪（需要时）→乳蛋白颗粒收集（需要时）→稀奶油回收（需要时）→电渗析乳清回收→冷却或巴氏杀菌→脱盐</w:t>
            </w:r>
            <w:r>
              <w:rPr>
                <w:rFonts w:hint="eastAsia" w:ascii="仿宋_GB2312" w:hAnsi="仿宋_GB2312" w:eastAsia="仿宋_GB2312" w:cs="仿宋_GB2312"/>
                <w:sz w:val="24"/>
                <w:szCs w:val="24"/>
                <w:highlight w:val="none"/>
              </w:rPr>
              <w:t>(脱盐乳清粉)</w:t>
            </w:r>
            <w:r>
              <w:rPr>
                <w:rFonts w:hint="eastAsia" w:ascii="仿宋_GB2312" w:hAnsi="仿宋_GB2312" w:eastAsia="仿宋_GB2312" w:cs="仿宋_GB2312"/>
                <w:sz w:val="24"/>
                <w:szCs w:val="24"/>
              </w:rPr>
              <w:t>→浓缩→喷雾干燥→包装</w:t>
            </w:r>
          </w:p>
          <w:p>
            <w:pPr>
              <w:adjustRightInd w:val="0"/>
              <w:snapToGrid w:val="0"/>
              <w:spacing w:line="24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2.乳清蛋白粉：乳清收集及储存→分离脂肪（需要时）→乳蛋白颗粒收集（需要时）→稀奶油回收（需要时）→蛋白质回收→冷却或巴氏杀菌→浓缩→喷雾干燥→包装</w:t>
            </w:r>
          </w:p>
          <w:p>
            <w:pPr>
              <w:adjustRightInd w:val="0"/>
              <w:snapToGrid w:val="0"/>
              <w:spacing w:line="240" w:lineRule="auto"/>
              <w:jc w:val="left"/>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kern w:val="0"/>
                <w:sz w:val="24"/>
                <w:szCs w:val="24"/>
              </w:rPr>
              <w:t>加油乳清粉：</w:t>
            </w:r>
            <w:r>
              <w:rPr>
                <w:rFonts w:hint="eastAsia" w:ascii="仿宋_GB2312" w:hAnsi="仿宋_GB2312" w:eastAsia="仿宋_GB2312" w:cs="仿宋_GB2312"/>
                <w:sz w:val="24"/>
                <w:szCs w:val="24"/>
              </w:rPr>
              <w:t>配料→均质→冷却→杀菌→浓缩→喷雾干燥→包装</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1.乳清粉：乳清预处理、杀菌、浓缩、喷雾干燥、包装</w:t>
            </w:r>
          </w:p>
          <w:p>
            <w:pPr>
              <w:rPr>
                <w:rFonts w:ascii="仿宋_GB2312" w:hAnsi="仿宋" w:eastAsia="仿宋_GB2312"/>
                <w:kern w:val="0"/>
                <w:sz w:val="24"/>
              </w:rPr>
            </w:pPr>
            <w:r>
              <w:rPr>
                <w:rFonts w:hint="eastAsia" w:ascii="仿宋_GB2312" w:hAnsi="仿宋" w:eastAsia="仿宋_GB2312"/>
                <w:kern w:val="0"/>
                <w:sz w:val="24"/>
              </w:rPr>
              <w:t>2.乳清蛋白粉：乳清预处理、杀菌、浓缩、喷雾干燥、包装</w:t>
            </w:r>
          </w:p>
          <w:p>
            <w:pPr>
              <w:rPr>
                <w:rFonts w:ascii="仿宋_GB2312" w:hAnsi="仿宋" w:eastAsia="仿宋_GB2312"/>
                <w:kern w:val="0"/>
                <w:sz w:val="24"/>
              </w:rPr>
            </w:pPr>
            <w:r>
              <w:rPr>
                <w:rFonts w:hint="eastAsia" w:ascii="仿宋_GB2312" w:hAnsi="仿宋" w:eastAsia="仿宋_GB2312"/>
                <w:kern w:val="0"/>
                <w:sz w:val="24"/>
              </w:rPr>
              <w:t>3.加油乳清粉：配料、均质、杀菌、浓缩、喷雾干燥、包装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炼乳</w:t>
            </w:r>
          </w:p>
        </w:tc>
        <w:tc>
          <w:tcPr>
            <w:tcW w:w="5549" w:type="dxa"/>
            <w:vAlign w:val="center"/>
          </w:tcPr>
          <w:p>
            <w:pPr>
              <w:rPr>
                <w:rFonts w:ascii="仿宋_GB2312" w:hAnsi="仿宋" w:eastAsia="仿宋_GB2312" w:cs="仿宋"/>
                <w:kern w:val="0"/>
                <w:sz w:val="24"/>
                <w:szCs w:val="24"/>
              </w:rPr>
            </w:pPr>
            <w:r>
              <w:rPr>
                <w:rFonts w:hint="eastAsia" w:ascii="仿宋_GB2312" w:hAnsi="仿宋_GB2312" w:eastAsia="仿宋_GB2312" w:cs="仿宋_GB2312"/>
                <w:sz w:val="24"/>
                <w:szCs w:val="24"/>
              </w:rPr>
              <w:t>原料乳→净乳→冷藏→标准化→预热杀菌→真空浓缩→冷却结晶（加糖炼乳）→装罐→灭菌(淡炼乳)→成品储存</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原料乳验收、杀菌及灭菌、冷却结晶、灌装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食品工业用浓缩乳</w:t>
            </w:r>
          </w:p>
        </w:tc>
        <w:tc>
          <w:tcPr>
            <w:tcW w:w="5549" w:type="dxa"/>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1.热浓缩法：原料乳验收→净乳→冷藏→均质→巴氏杀菌→热浓缩（≥65℃）→冷却→灌装→成品储存（常温，冷藏或冷冻）</w:t>
            </w:r>
          </w:p>
          <w:p>
            <w:pPr>
              <w:rPr>
                <w:rFonts w:ascii="仿宋_GB2312" w:hAnsi="仿宋" w:eastAsia="仿宋_GB2312" w:cs="仿宋"/>
                <w:kern w:val="0"/>
                <w:sz w:val="24"/>
              </w:rPr>
            </w:pPr>
            <w:r>
              <w:rPr>
                <w:rFonts w:hint="eastAsia" w:ascii="仿宋_GB2312" w:hAnsi="仿宋_GB2312" w:eastAsia="仿宋_GB2312" w:cs="仿宋_GB2312"/>
                <w:sz w:val="24"/>
                <w:szCs w:val="24"/>
              </w:rPr>
              <w:t>2.非热浓缩法：原料乳验收→净乳和（或）除菌分离→冷藏→均质→非热浓缩（超滤或反渗透）→冷却→灌装→冷藏(或冷冻）</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原料乳验收、浓缩、灌装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奶油、稀奶油、无水奶油</w:t>
            </w:r>
          </w:p>
        </w:tc>
        <w:tc>
          <w:tcPr>
            <w:tcW w:w="5549"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1.奶油：原料乳→净乳→脂肪分离→稀奶油→杀菌→发酵（适用于发酵型产品）→成熟→搅拌→排除酪乳→奶油粒→洗涤（需要时）→压炼（需要时）→包装</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2.稀奶油：原料乳→净乳→脂肪分离→稀奶油→杀菌或灭菌→发酵或酸化（适用于发酵稀奶油和酸化稀奶油）→灌装或无菌灌装</w:t>
            </w:r>
          </w:p>
          <w:p>
            <w:pPr>
              <w:rPr>
                <w:rFonts w:ascii="仿宋_GB2312" w:hAnsi="仿宋_GB2312" w:eastAsia="仿宋_GB2312" w:cs="仿宋_GB2312"/>
                <w:sz w:val="24"/>
              </w:rPr>
            </w:pPr>
            <w:r>
              <w:rPr>
                <w:rFonts w:hint="eastAsia" w:ascii="仿宋_GB2312" w:hAnsi="仿宋_GB2312" w:eastAsia="仿宋_GB2312" w:cs="仿宋_GB2312"/>
                <w:sz w:val="24"/>
                <w:szCs w:val="24"/>
              </w:rPr>
              <w:t>3.无水奶油：原料乳→净乳→脂肪分离→稀奶油→杀菌→二次分离→闪蒸（真空干燥）→包装</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原料乳的验收、杀菌及灭菌、发酵（适用于发酵型产品）、酸化（适用于酸化稀奶油）、包装。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干酪</w:t>
            </w:r>
          </w:p>
        </w:tc>
        <w:tc>
          <w:tcPr>
            <w:tcW w:w="5549" w:type="dxa"/>
            <w:vAlign w:val="center"/>
          </w:tcPr>
          <w:p>
            <w:pPr>
              <w:adjustRightInd w:val="0"/>
              <w:snapToGrid w:val="0"/>
              <w:spacing w:line="24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1.原料乳→净乳→冷藏→标准化→杀菌→冷却→凝乳→凝块切割→搅拌→排出乳清→成型压榨→成熟→包装</w:t>
            </w:r>
          </w:p>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szCs w:val="24"/>
              </w:rPr>
              <w:t>2.乳的预处理→混料→均质→杀菌→冷却→凝乳恒温培养（加入凝乳酶）→排乳清或不排乳清→冷却→灌装、封口→冷却贮存</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原料乳的验收、杀菌、凝乳、包装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rPr>
            </w:pPr>
            <w:r>
              <w:rPr>
                <w:rFonts w:hint="eastAsia" w:ascii="仿宋_GB2312" w:hAnsi="仿宋" w:eastAsia="仿宋_GB2312"/>
                <w:kern w:val="0"/>
                <w:sz w:val="24"/>
              </w:rPr>
              <w:t>再制干酪</w:t>
            </w:r>
          </w:p>
        </w:tc>
        <w:tc>
          <w:tcPr>
            <w:tcW w:w="5549"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原辅料→前处理→加热融化→杀菌→灌装→冷却→储藏→成品</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加热融化、杀菌、灌装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szCs w:val="24"/>
              </w:rPr>
            </w:pPr>
            <w:r>
              <w:rPr>
                <w:rFonts w:hint="eastAsia" w:ascii="仿宋_GB2312" w:hAnsi="仿宋" w:eastAsia="仿宋_GB2312"/>
                <w:kern w:val="0"/>
                <w:sz w:val="24"/>
                <w:szCs w:val="24"/>
              </w:rPr>
              <w:t>脱脂牛（羊）初乳粉</w:t>
            </w:r>
          </w:p>
        </w:tc>
        <w:tc>
          <w:tcPr>
            <w:tcW w:w="5549"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脱脂牛(羊)初乳的预处理→离心脱脂→杀菌或除菌→低温干燥→包装</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原料的验收、杀菌或除菌、低温干燥、包装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szCs w:val="24"/>
              </w:rPr>
            </w:pPr>
            <w:r>
              <w:rPr>
                <w:rFonts w:hint="eastAsia" w:ascii="仿宋_GB2312" w:hAnsi="仿宋" w:eastAsia="仿宋_GB2312"/>
                <w:kern w:val="0"/>
                <w:sz w:val="24"/>
                <w:szCs w:val="24"/>
              </w:rPr>
              <w:t>脱脂牛（羊）初乳</w:t>
            </w:r>
          </w:p>
        </w:tc>
        <w:tc>
          <w:tcPr>
            <w:tcW w:w="5549" w:type="dxa"/>
            <w:vAlign w:val="center"/>
          </w:tcPr>
          <w:p>
            <w:pPr>
              <w:adjustRightInd w:val="0"/>
              <w:snapToGrid w:val="0"/>
              <w:rPr>
                <w:rFonts w:ascii="仿宋_GB2312" w:hAnsi="仿宋_GB2312" w:eastAsia="仿宋_GB2312" w:cs="仿宋_GB2312"/>
                <w:sz w:val="24"/>
                <w:szCs w:val="24"/>
              </w:rPr>
            </w:pPr>
            <w:r>
              <w:rPr>
                <w:rFonts w:hint="eastAsia" w:ascii="仿宋_GB2312" w:hAnsi="仿宋" w:eastAsia="仿宋_GB2312"/>
                <w:kern w:val="0"/>
                <w:sz w:val="24"/>
                <w:szCs w:val="24"/>
              </w:rPr>
              <w:t>脱脂</w:t>
            </w:r>
            <w:r>
              <w:rPr>
                <w:rFonts w:hint="eastAsia" w:ascii="仿宋_GB2312" w:hAnsi="仿宋_GB2312" w:eastAsia="仿宋_GB2312" w:cs="仿宋_GB2312"/>
                <w:kern w:val="0"/>
                <w:sz w:val="24"/>
                <w:szCs w:val="24"/>
              </w:rPr>
              <w:t>牛(羊)初乳</w:t>
            </w:r>
            <w:r>
              <w:rPr>
                <w:rFonts w:hint="eastAsia" w:ascii="仿宋_GB2312" w:hAnsi="仿宋_GB2312" w:eastAsia="仿宋_GB2312" w:cs="仿宋_GB2312"/>
                <w:sz w:val="24"/>
                <w:szCs w:val="24"/>
              </w:rPr>
              <w:t>→净乳→离心脱脂→凝乳（需要时）→离心分离（需要时）→预过滤→超滤浓缩→无菌过滤</w:t>
            </w:r>
            <w:r>
              <w:rPr>
                <w:rFonts w:hint="eastAsia" w:ascii="仿宋_GB2312" w:hAnsi="仿宋_GB2312" w:eastAsia="仿宋_GB2312" w:cs="仿宋_GB2312"/>
                <w:sz w:val="24"/>
              </w:rPr>
              <w:t>（膜除菌）</w:t>
            </w:r>
            <w:r>
              <w:rPr>
                <w:rFonts w:hint="eastAsia" w:ascii="仿宋_GB2312" w:hAnsi="仿宋_GB2312" w:eastAsia="仿宋_GB2312" w:cs="仿宋_GB2312"/>
                <w:sz w:val="24"/>
                <w:szCs w:val="24"/>
              </w:rPr>
              <w:t>→无菌灌装</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原料的验收、超滤浓缩、无菌过滤（膜除菌）、无菌灌装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ascii="仿宋_GB2312" w:hAnsi="仿宋" w:eastAsia="仿宋_GB2312"/>
                <w:kern w:val="0"/>
                <w:sz w:val="24"/>
                <w:szCs w:val="24"/>
              </w:rPr>
            </w:pPr>
            <w:r>
              <w:rPr>
                <w:rFonts w:hint="eastAsia" w:ascii="仿宋_GB2312" w:hAnsi="仿宋" w:eastAsia="仿宋_GB2312"/>
                <w:kern w:val="0"/>
                <w:sz w:val="24"/>
                <w:szCs w:val="24"/>
              </w:rPr>
              <w:t>酪蛋白</w:t>
            </w:r>
          </w:p>
        </w:tc>
        <w:tc>
          <w:tcPr>
            <w:tcW w:w="5549" w:type="dxa"/>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1.酸法、酶法：原料乳</w:t>
            </w:r>
            <w:r>
              <w:rPr>
                <w:rFonts w:hint="eastAsia" w:ascii="仿宋_GB2312" w:hAnsi="仿宋_GB2312" w:eastAsia="仿宋_GB2312" w:cs="仿宋_GB2312"/>
                <w:sz w:val="24"/>
                <w:szCs w:val="24"/>
              </w:rPr>
              <w:t>→脱脂→酪蛋白沉淀(酸凝、酶凝) →过滤→沉淀→干燥</w:t>
            </w:r>
          </w:p>
          <w:p>
            <w:pPr>
              <w:adjustRightInd w:val="0"/>
              <w:snapToGrid w:val="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2.膜分离：</w:t>
            </w:r>
            <w:r>
              <w:rPr>
                <w:rFonts w:hint="eastAsia" w:ascii="仿宋_GB2312" w:hAnsi="仿宋_GB2312" w:eastAsia="仿宋_GB2312" w:cs="仿宋_GB2312"/>
                <w:kern w:val="0"/>
                <w:sz w:val="24"/>
                <w:szCs w:val="24"/>
              </w:rPr>
              <w:t>原料乳</w:t>
            </w:r>
            <w:r>
              <w:rPr>
                <w:rFonts w:hint="eastAsia" w:ascii="仿宋_GB2312" w:hAnsi="仿宋_GB2312" w:eastAsia="仿宋_GB2312" w:cs="仿宋_GB2312"/>
                <w:sz w:val="24"/>
                <w:szCs w:val="24"/>
              </w:rPr>
              <w:t>→脱脂→酪蛋白（膜过滤) →浓缩→干燥</w:t>
            </w:r>
          </w:p>
        </w:tc>
        <w:tc>
          <w:tcPr>
            <w:tcW w:w="2141" w:type="dxa"/>
            <w:vAlign w:val="center"/>
          </w:tcPr>
          <w:p>
            <w:pPr>
              <w:rPr>
                <w:rFonts w:ascii="仿宋_GB2312" w:hAnsi="仿宋" w:eastAsia="仿宋_GB2312"/>
                <w:kern w:val="0"/>
                <w:sz w:val="24"/>
              </w:rPr>
            </w:pPr>
            <w:r>
              <w:rPr>
                <w:rFonts w:hint="eastAsia" w:ascii="仿宋_GB2312" w:hAnsi="仿宋" w:eastAsia="仿宋_GB2312"/>
                <w:kern w:val="0"/>
                <w:sz w:val="24"/>
              </w:rPr>
              <w:t>原料乳验收、沉淀（酸法、酶法）、膜过滤（适用于膜分离法）、洗涤、干燥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83" w:type="dxa"/>
            <w:vAlign w:val="center"/>
          </w:tcPr>
          <w:p>
            <w:pPr>
              <w:rPr>
                <w:rFonts w:hint="eastAsia" w:ascii="仿宋_GB2312" w:hAnsi="仿宋" w:eastAsia="仿宋_GB2312" w:cstheme="minorBidi"/>
                <w:color w:val="auto"/>
                <w:kern w:val="0"/>
                <w:sz w:val="24"/>
                <w:szCs w:val="24"/>
                <w:lang w:val="en-US" w:eastAsia="zh-CN" w:bidi="ar-SA"/>
              </w:rPr>
            </w:pPr>
            <w:r>
              <w:rPr>
                <w:rFonts w:hint="eastAsia" w:ascii="仿宋_GB2312" w:hAnsi="仿宋" w:eastAsia="仿宋_GB2312"/>
                <w:color w:val="auto"/>
                <w:kern w:val="0"/>
                <w:sz w:val="24"/>
                <w:szCs w:val="24"/>
              </w:rPr>
              <w:t>乳糖</w:t>
            </w:r>
          </w:p>
        </w:tc>
        <w:tc>
          <w:tcPr>
            <w:tcW w:w="5549" w:type="dxa"/>
            <w:vAlign w:val="center"/>
          </w:tcPr>
          <w:p>
            <w:pPr>
              <w:adjustRightInd w:val="0"/>
              <w:snapToGrid w:val="0"/>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乳清</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离心</w:t>
            </w:r>
            <w:r>
              <w:rPr>
                <w:rFonts w:hint="eastAsia" w:ascii="仿宋_GB2312" w:hAnsi="仿宋_GB2312" w:eastAsia="仿宋_GB2312" w:cs="仿宋_GB2312"/>
                <w:color w:val="auto"/>
                <w:sz w:val="24"/>
                <w:szCs w:val="24"/>
              </w:rPr>
              <w:t>→巴氏杀菌→浓缩→结晶→倾析→干燥</w:t>
            </w:r>
          </w:p>
        </w:tc>
        <w:tc>
          <w:tcPr>
            <w:tcW w:w="2141" w:type="dxa"/>
            <w:vAlign w:val="center"/>
          </w:tcPr>
          <w:p>
            <w:pPr>
              <w:rPr>
                <w:rFonts w:hint="eastAsia" w:ascii="仿宋_GB2312" w:hAnsi="仿宋" w:eastAsia="仿宋_GB2312" w:cstheme="minorBidi"/>
                <w:color w:val="auto"/>
                <w:kern w:val="0"/>
                <w:sz w:val="24"/>
                <w:szCs w:val="22"/>
                <w:lang w:val="en-US" w:eastAsia="zh-CN" w:bidi="ar-SA"/>
              </w:rPr>
            </w:pPr>
            <w:r>
              <w:rPr>
                <w:rFonts w:hint="eastAsia" w:ascii="仿宋_GB2312" w:hAnsi="仿宋_GB2312" w:eastAsia="仿宋_GB2312" w:cs="仿宋_GB2312"/>
                <w:color w:val="auto"/>
                <w:sz w:val="24"/>
                <w:szCs w:val="24"/>
              </w:rPr>
              <w:t>巴氏杀菌、浓缩、结晶、干燥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173" w:type="dxa"/>
            <w:gridSpan w:val="3"/>
            <w:vAlign w:val="center"/>
          </w:tcPr>
          <w:p>
            <w:pPr>
              <w:rPr>
                <w:rFonts w:ascii="仿宋_GB2312" w:hAnsi="仿宋" w:eastAsia="仿宋_GB2312"/>
                <w:kern w:val="0"/>
                <w:szCs w:val="21"/>
              </w:rPr>
            </w:pPr>
            <w:r>
              <w:rPr>
                <w:rFonts w:hint="eastAsia" w:ascii="仿宋_GB2312" w:hAnsi="Times New Roman" w:eastAsia="仿宋_GB2312"/>
                <w:kern w:val="0"/>
                <w:szCs w:val="21"/>
              </w:rPr>
              <w:t>注：</w:t>
            </w:r>
            <w:r>
              <w:rPr>
                <w:rFonts w:hint="eastAsia" w:ascii="仿宋_GB2312" w:hAnsi="仿宋" w:eastAsia="仿宋_GB2312"/>
                <w:kern w:val="0"/>
                <w:szCs w:val="21"/>
              </w:rPr>
              <w:t>本表所列生产工艺为企业基本生产工艺，可根据实际生产情况合理增加</w:t>
            </w:r>
            <w:r>
              <w:rPr>
                <w:rFonts w:ascii="仿宋_GB2312" w:hAnsi="仿宋" w:eastAsia="仿宋_GB2312"/>
                <w:kern w:val="0"/>
                <w:szCs w:val="21"/>
              </w:rPr>
              <w:t>或</w:t>
            </w:r>
            <w:r>
              <w:rPr>
                <w:rFonts w:hint="eastAsia" w:ascii="仿宋_GB2312" w:hAnsi="仿宋" w:eastAsia="仿宋_GB2312"/>
                <w:kern w:val="0"/>
                <w:szCs w:val="21"/>
              </w:rPr>
              <w:t>减少，并提交合理性说明。</w:t>
            </w:r>
          </w:p>
        </w:tc>
      </w:tr>
    </w:tbl>
    <w:p>
      <w:pPr>
        <w:adjustRightInd w:val="0"/>
        <w:snapToGrid w:val="0"/>
        <w:spacing w:line="580" w:lineRule="exact"/>
        <w:ind w:firstLine="640" w:firstLineChars="200"/>
        <w:rPr>
          <w:rFonts w:ascii="Times New Roman" w:hAnsi="Times New Roman" w:eastAsia="仿宋_GB2312"/>
          <w:b/>
          <w:kern w:val="0"/>
          <w:sz w:val="32"/>
          <w:szCs w:val="32"/>
        </w:rPr>
      </w:pPr>
      <w:r>
        <w:rPr>
          <w:rFonts w:hint="eastAsia" w:ascii="黑体" w:hAnsi="黑体" w:eastAsia="黑体" w:cs="黑体"/>
          <w:bCs/>
          <w:kern w:val="0"/>
          <w:sz w:val="32"/>
          <w:szCs w:val="32"/>
        </w:rPr>
        <w:t>第三十三条</w:t>
      </w:r>
      <w:r>
        <w:rPr>
          <w:rFonts w:hint="eastAsia" w:ascii="Times New Roman" w:hAnsi="Times New Roman" w:eastAsia="仿宋_GB2312"/>
          <w:b/>
          <w:kern w:val="0"/>
          <w:sz w:val="32"/>
          <w:szCs w:val="32"/>
        </w:rPr>
        <w:t xml:space="preserve"> </w:t>
      </w:r>
      <w:r>
        <w:rPr>
          <w:rFonts w:hint="eastAsia" w:ascii="Times New Roman" w:hAnsi="Times New Roman" w:eastAsia="仿宋_GB2312"/>
          <w:bCs/>
          <w:kern w:val="0"/>
          <w:sz w:val="32"/>
          <w:szCs w:val="32"/>
        </w:rPr>
        <w:t>生产企业应建立工艺文件、操作规程等生产技术文件，技术文件与实际操作应保持一致性。</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第三十四条</w:t>
      </w:r>
      <w:r>
        <w:rPr>
          <w:rFonts w:hint="eastAsia" w:ascii="仿宋_GB2312" w:hAnsi="仿宋_GB2312" w:eastAsia="仿宋_GB2312" w:cs="仿宋_GB2312"/>
          <w:bCs/>
          <w:kern w:val="0"/>
          <w:sz w:val="32"/>
          <w:szCs w:val="32"/>
        </w:rPr>
        <w:t xml:space="preserve"> 新增或调整产品工艺流程及关键设备时，应进行必要性论证和安全性确认，保证产品质量符合要求。</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第三十五条</w:t>
      </w:r>
      <w:r>
        <w:rPr>
          <w:rFonts w:hint="eastAsia" w:ascii="仿宋_GB2312" w:hAnsi="仿宋_GB2312" w:eastAsia="仿宋_GB2312" w:cs="仿宋_GB2312"/>
          <w:bCs/>
          <w:kern w:val="0"/>
          <w:sz w:val="32"/>
          <w:szCs w:val="32"/>
        </w:rPr>
        <w:t xml:space="preserve"> 通过危害分析方法明确影响产品质量的关键工序或关键控制点，并制定操作规程或作业指导书</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应至少对乳制品生产关键工序或关键控制点形成电子信息记录。</w:t>
      </w:r>
    </w:p>
    <w:p>
      <w:pPr>
        <w:pStyle w:val="59"/>
        <w:spacing w:line="580" w:lineRule="exact"/>
        <w:ind w:firstLine="419" w:firstLineChars="13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黑体" w:hAnsi="黑体" w:eastAsia="黑体" w:cs="黑体"/>
          <w:bCs/>
          <w:sz w:val="32"/>
          <w:szCs w:val="32"/>
        </w:rPr>
        <w:t>第三十六条</w:t>
      </w:r>
      <w:r>
        <w:rPr>
          <w:rFonts w:hint="eastAsia" w:ascii="仿宋_GB2312" w:hAnsi="仿宋_GB2312" w:eastAsia="仿宋_GB2312" w:cs="仿宋_GB2312"/>
          <w:bCs/>
          <w:sz w:val="32"/>
          <w:szCs w:val="32"/>
        </w:rPr>
        <w:t xml:space="preserve"> 生产企业应有控制措施对配料过程的物料称量进行管理及复核。配料过程应根据生产指令单所要求的物料种类、用量，进行物料称量，保存配料记录，配料记录包括物料名称、生产者名称、规格、物料批号、使用数量、配料人、复核人等 ，保证记录可溯源性。投料前需根据投料单对物料标识、品种、数量等进行核对。</w:t>
      </w:r>
    </w:p>
    <w:p>
      <w:pPr>
        <w:pStyle w:val="3"/>
        <w:adjustRightInd w:val="0"/>
        <w:snapToGrid w:val="0"/>
        <w:spacing w:line="580" w:lineRule="exact"/>
        <w:rPr>
          <w:rFonts w:ascii="黑体" w:hAnsi="黑体" w:eastAsia="黑体" w:cs="黑体"/>
          <w:bCs/>
          <w:sz w:val="32"/>
          <w:szCs w:val="32"/>
        </w:rPr>
      </w:pPr>
      <w:bookmarkStart w:id="5" w:name="_Toc493510003"/>
      <w:r>
        <w:rPr>
          <w:rFonts w:hint="eastAsia" w:ascii="黑体" w:hAnsi="黑体" w:eastAsia="黑体" w:cs="黑体"/>
          <w:bCs/>
          <w:sz w:val="32"/>
          <w:szCs w:val="32"/>
        </w:rPr>
        <w:t>第五章  人员管理</w:t>
      </w:r>
      <w:bookmarkEnd w:id="5"/>
    </w:p>
    <w:p>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黑体" w:hAnsi="黑体" w:eastAsia="黑体" w:cs="黑体"/>
          <w:bCs/>
          <w:kern w:val="0"/>
          <w:sz w:val="32"/>
          <w:szCs w:val="32"/>
        </w:rPr>
        <w:t>第三十七条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sz w:val="32"/>
          <w:szCs w:val="32"/>
        </w:rPr>
        <w:t>生产企业应配备与生产能力和生产规模相适应的食品安全管理负责人、食品安全管理人员、技术人员（包括生产及检验人员等）、生产操作人员和其他人员，并符合下列要求：</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（一）应设置独立的食品质量安全管理部门，配备专职或兼职的食品安全管理人员，负责按照国家有关食品安全法律法规和《食品安全国家标准 乳制品良好生产规范》（GB 12693）建立、实施和持续改进食品安全管理制度及生产质量管理体系。</w:t>
      </w:r>
    </w:p>
    <w:p>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（二）应明确企业负责人、食品安全负责人和食品安全管理人员的岗位的职责，并应能履行其相应的责任和义务。</w:t>
      </w:r>
    </w:p>
    <w:p>
      <w:pPr>
        <w:spacing w:line="580" w:lineRule="exact"/>
        <w:rPr>
          <w:rFonts w:ascii="仿宋_GB2312" w:hAnsi="仿宋_GB2312" w:eastAsia="仿宋_GB2312" w:cs="仿宋_GB2312"/>
          <w:bCs/>
          <w:color w:val="FF0000"/>
          <w:sz w:val="32"/>
          <w:szCs w:val="32"/>
          <w:shd w:val="clear" w:color="auto" w:fill="FFFFFF" w:themeFill="background1"/>
        </w:rPr>
      </w:pPr>
      <w:r>
        <w:rPr>
          <w:rFonts w:hint="eastAsia" w:ascii="仿宋_GB2312" w:hAnsi="仿宋_GB2312" w:eastAsia="仿宋_GB2312" w:cs="仿宋_GB2312"/>
          <w:bCs/>
          <w:color w:val="000000"/>
          <w:sz w:val="32"/>
          <w:szCs w:val="32"/>
          <w:shd w:val="clear" w:color="auto" w:fill="FFFFFF" w:themeFill="background1"/>
        </w:rPr>
        <w:t xml:space="preserve">    （三）企业负责人是食品安全第一责任人，应</w:t>
      </w:r>
      <w:r>
        <w:rPr>
          <w:rFonts w:hint="eastAsia" w:ascii="仿宋_GB2312" w:hAnsi="仿宋_GB2312" w:eastAsia="仿宋_GB2312" w:cs="仿宋_GB2312"/>
          <w:bCs/>
          <w:sz w:val="32"/>
          <w:szCs w:val="32"/>
          <w:shd w:val="clear" w:color="auto" w:fill="FFFFFF" w:themeFill="background1"/>
        </w:rPr>
        <w:t>熟悉食品安全有关法律法规和乳制品质量安全知识，对本企业的食品安全承担法律责任和义务。</w:t>
      </w:r>
    </w:p>
    <w:p>
      <w:pPr>
        <w:pStyle w:val="70"/>
        <w:adjustRightInd w:val="0"/>
        <w:snapToGrid w:val="0"/>
        <w:spacing w:line="580" w:lineRule="exact"/>
        <w:ind w:firstLine="358" w:firstLineChars="11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四）食品安全负责人应具有食品及相关专业本科以上学历且3年以上相关工作经历，经专业理论和食品安全知识培训合格，掌握食品安全有关的法律法规和乳制品的质量安全知识。食品安全负责人应当是生产企业法定代表人（负责人）或经授权的负责人，应独立行使职权，承担乳制品安全管理和出厂放行责任，其职责不得委托他人，特殊情况需进行授权。</w:t>
      </w:r>
    </w:p>
    <w:p>
      <w:pPr>
        <w:spacing w:line="58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kern w:val="0"/>
          <w:sz w:val="32"/>
          <w:szCs w:val="32"/>
        </w:rPr>
        <w:t xml:space="preserve">   （五）</w:t>
      </w:r>
      <w:r>
        <w:rPr>
          <w:rFonts w:hint="eastAsia" w:ascii="仿宋_GB2312" w:hAnsi="仿宋_GB2312" w:eastAsia="仿宋_GB2312" w:cs="仿宋_GB2312"/>
          <w:bCs/>
          <w:sz w:val="32"/>
          <w:szCs w:val="32"/>
        </w:rPr>
        <w:t>食品安全管理人员应有相关专业专科以上学历且具有3年以上的乳制品生产工作经历或食品安全管理经验，</w:t>
      </w:r>
      <w:r>
        <w:rPr>
          <w:rFonts w:hint="eastAsia" w:ascii="仿宋_GB2312" w:hAnsi="仿宋_GB2312" w:eastAsia="仿宋_GB2312" w:cs="仿宋_GB2312"/>
          <w:bCs/>
          <w:kern w:val="0"/>
          <w:sz w:val="32"/>
          <w:szCs w:val="32"/>
        </w:rPr>
        <w:t>应掌握乳制品产品涉及的法律法规及标准规定，</w:t>
      </w:r>
      <w:r>
        <w:rPr>
          <w:rFonts w:hint="eastAsia" w:ascii="仿宋_GB2312" w:hAnsi="仿宋_GB2312" w:eastAsia="仿宋_GB2312" w:cs="仿宋_GB2312"/>
          <w:bCs/>
          <w:sz w:val="32"/>
          <w:szCs w:val="32"/>
        </w:rPr>
        <w:t>履行食品安全控制和食品安全保证相应的职责。</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（六）生产技术人员应具有相关专业专科以上学历或3年以上相关工作经验，掌握乳制品生产专业知识。</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（七）从事</w:t>
      </w:r>
      <w:r>
        <w:rPr>
          <w:rFonts w:hint="eastAsia" w:ascii="仿宋_GB2312" w:hAnsi="仿宋_GB2312" w:eastAsia="仿宋_GB2312" w:cs="仿宋_GB2312"/>
          <w:bCs/>
          <w:kern w:val="0"/>
          <w:sz w:val="32"/>
          <w:szCs w:val="32"/>
          <w:highlight w:val="none"/>
        </w:rPr>
        <w:t>检验</w:t>
      </w:r>
      <w:r>
        <w:rPr>
          <w:rFonts w:hint="eastAsia" w:ascii="仿宋_GB2312" w:hAnsi="仿宋_GB2312" w:eastAsia="仿宋_GB2312" w:cs="仿宋_GB2312"/>
          <w:bCs/>
          <w:kern w:val="0"/>
          <w:sz w:val="32"/>
          <w:szCs w:val="32"/>
        </w:rPr>
        <w:t>人员应具有食品、化学或相关专业专科以上的学历或者具有1年以上食品检测工作经历。实验室负责人应具有食品、化学或相关专业本科以上学历且有3年以上相关工作经历。企业自行检验的，要求每个检验项目至少2人以上具有独立检验的能力。</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（八）生产操作人员的数量应适应企业规模、工艺、设备要求。关键控制环节操作人员应具有一定的技术经验，掌握生产工艺操作规程，能熟练操作生产设备。特殊岗位的生产操作人员资格应符合有关规定。</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 xml:space="preserve">第三十八条 </w:t>
      </w:r>
      <w:r>
        <w:rPr>
          <w:rFonts w:hint="eastAsia" w:ascii="仿宋_GB2312" w:hAnsi="仿宋_GB2312" w:eastAsia="仿宋_GB2312" w:cs="仿宋_GB2312"/>
          <w:bCs/>
          <w:kern w:val="0"/>
          <w:sz w:val="32"/>
          <w:szCs w:val="32"/>
        </w:rPr>
        <w:t>培训管理工作由指定部门或专人负责，负责建立培训管理制度并组织实施。</w:t>
      </w:r>
    </w:p>
    <w:p>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企业应当制定新员工上岗培训计划、员工定期培训计划、培训方案及考核方法。培训内容应与岗位要求相适应，至少应包括工艺规程、食品安全知识等。检验人员培训计划应包括专业知识、专业技能以及有关生物、化学安全和防护、救护知识等的培训。</w:t>
      </w:r>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食品安全管理人员、食品生产技术人员、生产操作人员和检验人员等应经培训考核合格后上岗，检验人员还应进行授权。培训计划和方案应经企业负责人或食品安全负责人审核批准，培训记录应当予以保存，培训效果应当定期考核评估。</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第三十九条</w:t>
      </w:r>
      <w:r>
        <w:rPr>
          <w:rFonts w:hint="eastAsia" w:ascii="仿宋_GB2312" w:hAnsi="仿宋_GB2312" w:eastAsia="仿宋_GB2312" w:cs="仿宋_GB2312"/>
          <w:bCs/>
          <w:kern w:val="0"/>
          <w:sz w:val="32"/>
          <w:szCs w:val="32"/>
        </w:rPr>
        <w:t xml:space="preserve"> 企业应建立从业人员健康管理制度，从事接触直接入口食品工作的食品生产经营人员应当每年进行健康检查，取得健康证明后方可上岗工作。建立人员健康检查记录，保证食品加工人员患有法律法规规定的有碍食品安全的疾病时，应调整到其他不影响食品安全的工作岗位。</w:t>
      </w:r>
    </w:p>
    <w:p>
      <w:pPr>
        <w:pStyle w:val="3"/>
        <w:adjustRightInd w:val="0"/>
        <w:snapToGrid w:val="0"/>
        <w:spacing w:line="580" w:lineRule="exact"/>
        <w:rPr>
          <w:rFonts w:ascii="黑体" w:hAnsi="黑体" w:eastAsia="黑体" w:cs="黑体"/>
          <w:bCs/>
          <w:sz w:val="32"/>
          <w:szCs w:val="32"/>
        </w:rPr>
      </w:pPr>
      <w:bookmarkStart w:id="6" w:name="_Toc493510004"/>
      <w:r>
        <w:rPr>
          <w:rFonts w:hint="eastAsia" w:ascii="黑体" w:hAnsi="黑体" w:eastAsia="黑体" w:cs="黑体"/>
          <w:bCs/>
          <w:sz w:val="32"/>
          <w:szCs w:val="32"/>
        </w:rPr>
        <w:t>第六章  管理制度</w:t>
      </w:r>
      <w:bookmarkEnd w:id="6"/>
    </w:p>
    <w:p>
      <w:pPr>
        <w:adjustRightInd w:val="0"/>
        <w:snapToGrid w:val="0"/>
        <w:spacing w:before="240" w:line="580" w:lineRule="exact"/>
        <w:ind w:firstLine="640" w:firstLineChars="200"/>
        <w:rPr>
          <w:rFonts w:ascii="仿宋_GB2312" w:hAnsi="仿宋_GB2312" w:eastAsia="仿宋_GB2312" w:cs="仿宋_GB2312"/>
          <w:bCs/>
          <w:sz w:val="32"/>
          <w:szCs w:val="32"/>
          <w:highlight w:val="none"/>
        </w:rPr>
      </w:pPr>
      <w:r>
        <w:rPr>
          <w:rFonts w:hint="eastAsia" w:ascii="黑体" w:hAnsi="黑体" w:eastAsia="黑体" w:cs="黑体"/>
          <w:bCs/>
          <w:kern w:val="0"/>
          <w:sz w:val="32"/>
          <w:szCs w:val="32"/>
        </w:rPr>
        <w:t>第四十条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sz w:val="32"/>
          <w:szCs w:val="32"/>
        </w:rPr>
        <w:t>企业应当按照《食品安全法》等有关法律法规和</w:t>
      </w:r>
      <w:r>
        <w:rPr>
          <w:rFonts w:hint="eastAsia" w:ascii="仿宋_GB2312" w:hAnsi="仿宋_GB2312" w:eastAsia="仿宋_GB2312" w:cs="仿宋_GB2312"/>
          <w:bCs/>
          <w:color w:val="000000"/>
          <w:sz w:val="32"/>
          <w:szCs w:val="32"/>
        </w:rPr>
        <w:t>食品安全国家标准的规定建立并实施食品安全管理制度，</w:t>
      </w:r>
      <w:r>
        <w:rPr>
          <w:rFonts w:hint="eastAsia" w:ascii="仿宋_GB2312" w:hAnsi="仿宋_GB2312" w:eastAsia="仿宋_GB2312" w:cs="仿宋_GB2312"/>
          <w:bCs/>
          <w:sz w:val="32"/>
          <w:szCs w:val="32"/>
        </w:rPr>
        <w:t>包括乳制品原料、食品添加剂和包装材料的采购、使用及产品生产、包装、检验、放行和销售等所有环节，并确保管理职责明确，生产管理和食品安全控制活动符合</w:t>
      </w:r>
      <w:r>
        <w:rPr>
          <w:rFonts w:hint="eastAsia" w:ascii="仿宋_GB2312" w:hAnsi="仿宋_GB2312" w:eastAsia="仿宋_GB2312" w:cs="仿宋_GB2312"/>
          <w:bCs/>
          <w:sz w:val="32"/>
          <w:szCs w:val="32"/>
          <w:highlight w:val="none"/>
        </w:rPr>
        <w:t>《食品安全国家标准 乳制品良好生产规范》（GB12693）要求。</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第四十一条</w:t>
      </w:r>
      <w:r>
        <w:rPr>
          <w:rFonts w:hint="eastAsia" w:ascii="仿宋_GB2312" w:hAnsi="仿宋_GB2312" w:eastAsia="仿宋_GB2312" w:cs="仿宋_GB2312"/>
          <w:bCs/>
          <w:kern w:val="0"/>
          <w:sz w:val="32"/>
          <w:szCs w:val="32"/>
        </w:rPr>
        <w:t xml:space="preserve"> 制定原辅料供应商审核制度，定期对供应商进行审核。原辅料供应商的确定及变更应进行食品安全评估，并经企业食品安全管理部门批准后方可采购。应与主要原辅料供应商签订食品安全协议，明确双方所承担的责任。</w:t>
      </w:r>
    </w:p>
    <w:p>
      <w:pPr>
        <w:adjustRightInd w:val="0"/>
        <w:snapToGrid w:val="0"/>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对国内原辅料供应商的审核至少应包括：供应商的资质证明文件、质量标准、检验报告等。采用进口原辅料的，应审核境外出口商或者代理商包括进口商的备案资质文件、境外生产企业注册文件、原料质量标准、产品出厂的检验报告、海关出具的相关证明等。</w:t>
      </w:r>
    </w:p>
    <w:p>
      <w:pPr>
        <w:pStyle w:val="70"/>
        <w:spacing w:line="580" w:lineRule="exact"/>
        <w:ind w:firstLine="0" w:firstLineChars="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第四十二条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highlight w:val="none"/>
        </w:rPr>
        <w:t>制定进货查验制度，包</w:t>
      </w:r>
      <w:r>
        <w:rPr>
          <w:rFonts w:hint="eastAsia" w:ascii="仿宋_GB2312" w:hAnsi="仿宋_GB2312" w:eastAsia="仿宋_GB2312" w:cs="仿宋_GB2312"/>
          <w:bCs/>
          <w:kern w:val="0"/>
          <w:sz w:val="32"/>
          <w:szCs w:val="32"/>
        </w:rPr>
        <w:t>括原辅料验收标准和进厂的原辅料进行验证、检验、记录、报告以及接收或拒收的处理意见和审批手续等内容。</w:t>
      </w:r>
    </w:p>
    <w:p>
      <w:pPr>
        <w:pStyle w:val="70"/>
        <w:widowControl/>
        <w:spacing w:line="580" w:lineRule="exact"/>
        <w:ind w:firstLine="0" w:firstLineChars="0"/>
        <w:contextualSpacing/>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Cs/>
          <w:kern w:val="0"/>
          <w:sz w:val="32"/>
          <w:szCs w:val="32"/>
        </w:rPr>
        <w:t>企业应建立生乳进货查验制度，生乳的进货查验应有索证索票和逐批检测并记录的规定，保证收购的生乳来自取得生鲜乳收购许可证的生鲜乳收购站，并有检验报告表明每批生乳符合《食品安全国家标准 生乳》（GB 19301）的规定。</w:t>
      </w:r>
      <w:r>
        <w:rPr>
          <w:rFonts w:hint="eastAsia" w:ascii="仿宋_GB2312" w:hAnsi="仿宋_GB2312" w:eastAsia="仿宋_GB2312" w:cs="仿宋_GB2312"/>
          <w:bCs/>
          <w:color w:val="000000"/>
          <w:kern w:val="0"/>
          <w:sz w:val="32"/>
          <w:szCs w:val="32"/>
        </w:rPr>
        <w:t>生乳中农药、兽药残留、重金属等有毒有害物质或者致病性的寄生虫和微生物、生物毒素等指标须符合相关食品安全国家标准规定</w:t>
      </w:r>
      <w:r>
        <w:rPr>
          <w:rFonts w:hint="eastAsia" w:ascii="仿宋_GB2312" w:hAnsi="仿宋_GB2312" w:eastAsia="仿宋_GB2312" w:cs="仿宋_GB2312"/>
          <w:bCs/>
          <w:color w:val="333333"/>
          <w:kern w:val="0"/>
          <w:sz w:val="32"/>
          <w:szCs w:val="32"/>
        </w:rPr>
        <w:t>，</w:t>
      </w:r>
      <w:r>
        <w:rPr>
          <w:rFonts w:hint="eastAsia" w:ascii="仿宋_GB2312" w:hAnsi="仿宋_GB2312" w:eastAsia="仿宋_GB2312" w:cs="仿宋_GB2312"/>
          <w:bCs/>
          <w:kern w:val="0"/>
          <w:sz w:val="32"/>
          <w:szCs w:val="32"/>
        </w:rPr>
        <w:t>应进行定期或不定期监测和安全性评估。</w:t>
      </w:r>
    </w:p>
    <w:p>
      <w:pPr>
        <w:pStyle w:val="70"/>
        <w:widowControl/>
        <w:spacing w:line="580" w:lineRule="exact"/>
        <w:ind w:firstLine="0" w:firstLineChars="0"/>
        <w:contextualSpacing/>
        <w:jc w:val="left"/>
        <w:rPr>
          <w:rFonts w:ascii="仿宋_GB2312" w:hAnsi="仿宋_GB2312" w:eastAsia="仿宋_GB2312" w:cs="仿宋_GB2312"/>
          <w:bCs/>
          <w:color w:val="333333"/>
          <w:kern w:val="0"/>
          <w:sz w:val="32"/>
          <w:szCs w:val="32"/>
        </w:rPr>
      </w:pPr>
      <w:r>
        <w:rPr>
          <w:rFonts w:hint="eastAsia" w:ascii="仿宋_GB2312" w:hAnsi="仿宋_GB2312" w:eastAsia="仿宋_GB2312" w:cs="仿宋_GB2312"/>
          <w:bCs/>
          <w:color w:val="000000"/>
          <w:kern w:val="0"/>
          <w:sz w:val="32"/>
          <w:szCs w:val="32"/>
        </w:rPr>
        <w:t xml:space="preserve">    对含乳原料中可能出现</w:t>
      </w:r>
      <w:r>
        <w:rPr>
          <w:rFonts w:hint="eastAsia" w:ascii="仿宋_GB2312" w:hAnsi="仿宋_GB2312" w:eastAsia="仿宋_GB2312" w:cs="仿宋_GB2312"/>
          <w:bCs/>
          <w:color w:val="333333"/>
          <w:kern w:val="0"/>
          <w:sz w:val="32"/>
          <w:szCs w:val="32"/>
        </w:rPr>
        <w:t>的影响产品质量、危害人体健康的物质进行必要的检验或查验合格报告；</w:t>
      </w:r>
      <w:r>
        <w:rPr>
          <w:rFonts w:hint="eastAsia" w:ascii="仿宋_GB2312" w:hAnsi="仿宋_GB2312" w:eastAsia="仿宋_GB2312" w:cs="仿宋_GB2312"/>
          <w:bCs/>
          <w:kern w:val="0"/>
          <w:sz w:val="32"/>
          <w:szCs w:val="32"/>
        </w:rPr>
        <w:t xml:space="preserve"> </w:t>
      </w:r>
    </w:p>
    <w:p>
      <w:pPr>
        <w:adjustRightInd w:val="0"/>
        <w:snapToGrid w:val="0"/>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企业采购的维生素、微量元素等营养强化剂及其他食品添加剂应进行进货验证，确保产品质量安全。</w:t>
      </w:r>
      <w:r>
        <w:rPr>
          <w:rFonts w:hint="eastAsia" w:ascii="仿宋_GB2312" w:hAnsi="仿宋_GB2312" w:eastAsia="仿宋_GB2312" w:cs="仿宋_GB2312"/>
          <w:bCs/>
          <w:kern w:val="0"/>
          <w:sz w:val="32"/>
          <w:szCs w:val="32"/>
        </w:rPr>
        <w:t>对贮存期间质量容易发生变化的维生素和微量元素等营养强化剂及其他食品添加剂进行原料合格的确认，以确保其符合原料规定的要求。</w:t>
      </w:r>
    </w:p>
    <w:p>
      <w:pPr>
        <w:pStyle w:val="60"/>
        <w:widowControl w:val="0"/>
        <w:adjustRightInd w:val="0"/>
        <w:snapToGrid w:val="0"/>
        <w:spacing w:after="0" w:line="580" w:lineRule="exact"/>
        <w:ind w:firstLine="627" w:firstLineChars="196"/>
        <w:rPr>
          <w:rFonts w:ascii="仿宋_GB2312" w:hAnsi="仿宋_GB2312" w:eastAsia="仿宋_GB2312" w:cs="仿宋_GB2312"/>
          <w:bCs/>
          <w:kern w:val="0"/>
          <w:sz w:val="32"/>
          <w:szCs w:val="32"/>
        </w:rPr>
      </w:pPr>
      <w:r>
        <w:rPr>
          <w:rFonts w:hint="eastAsia" w:ascii="黑体" w:hAnsi="黑体" w:eastAsia="黑体" w:cs="黑体"/>
          <w:bCs/>
          <w:kern w:val="0"/>
          <w:sz w:val="32"/>
          <w:szCs w:val="32"/>
        </w:rPr>
        <w:t>第四十三条</w:t>
      </w:r>
      <w:r>
        <w:rPr>
          <w:rFonts w:hint="eastAsia" w:ascii="仿宋_GB2312" w:hAnsi="仿宋_GB2312" w:eastAsia="仿宋_GB2312" w:cs="仿宋_GB2312"/>
          <w:bCs/>
          <w:kern w:val="0"/>
          <w:sz w:val="32"/>
          <w:szCs w:val="32"/>
          <w:highlight w:val="none"/>
        </w:rPr>
        <w:t xml:space="preserve"> 建立原辅料管理制度。</w:t>
      </w:r>
      <w:r>
        <w:rPr>
          <w:rFonts w:hint="eastAsia" w:ascii="仿宋_GB2312" w:hAnsi="仿宋_GB2312" w:eastAsia="仿宋_GB2312" w:cs="仿宋_GB2312"/>
          <w:bCs/>
          <w:kern w:val="0"/>
          <w:sz w:val="32"/>
          <w:szCs w:val="32"/>
        </w:rPr>
        <w:t>保证采购、使用的原辅料符合相应的食品安全国家标准、地方标准或企业标准的规定。</w:t>
      </w:r>
    </w:p>
    <w:p>
      <w:pPr>
        <w:pStyle w:val="60"/>
        <w:widowControl w:val="0"/>
        <w:adjustRightInd w:val="0"/>
        <w:snapToGrid w:val="0"/>
        <w:spacing w:after="0" w:line="58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不得使用危害人体营养及健康的违禁添加物或其他非食用原料制成的产品作为生产原料；</w:t>
      </w:r>
      <w:r>
        <w:rPr>
          <w:rFonts w:hint="eastAsia" w:ascii="仿宋_GB2312" w:hAnsi="仿宋_GB2312" w:eastAsia="仿宋_GB2312" w:cs="仿宋_GB2312"/>
          <w:bCs/>
          <w:kern w:val="0"/>
          <w:sz w:val="32"/>
          <w:szCs w:val="32"/>
          <w:highlight w:val="none"/>
        </w:rPr>
        <w:t>不得使用乳或乳制品以外的动物性蛋白质（允许使用的食品添加剂</w:t>
      </w:r>
      <w:r>
        <w:rPr>
          <w:rFonts w:hint="eastAsia" w:ascii="仿宋_GB2312" w:hAnsi="仿宋_GB2312" w:eastAsia="仿宋_GB2312" w:cs="仿宋_GB2312"/>
          <w:bCs/>
          <w:kern w:val="0"/>
          <w:sz w:val="32"/>
          <w:szCs w:val="32"/>
          <w:highlight w:val="none"/>
          <w:lang w:eastAsia="zh-CN"/>
        </w:rPr>
        <w:t>及有关部门批准的新资源食品原料</w:t>
      </w:r>
      <w:r>
        <w:rPr>
          <w:rFonts w:hint="eastAsia" w:ascii="仿宋_GB2312" w:hAnsi="仿宋_GB2312" w:eastAsia="仿宋_GB2312" w:cs="仿宋_GB2312"/>
          <w:bCs/>
          <w:kern w:val="0"/>
          <w:sz w:val="32"/>
          <w:szCs w:val="32"/>
          <w:highlight w:val="none"/>
        </w:rPr>
        <w:t>除外）</w:t>
      </w:r>
      <w:r>
        <w:rPr>
          <w:rFonts w:hint="eastAsia" w:ascii="仿宋_GB2312" w:hAnsi="仿宋_GB2312" w:eastAsia="仿宋_GB2312" w:cs="仿宋_GB2312"/>
          <w:bCs/>
          <w:kern w:val="0"/>
          <w:sz w:val="32"/>
          <w:szCs w:val="32"/>
        </w:rPr>
        <w:t>；不得使用经辐照处理过的原辅料。</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包装材料应清洁、无毒且符合国家相关标准及规定。包装材料在特定储存和使用条件下不应影响乳制品的安全和产品特性。除可回收利用的包装材料外不应重复使用包装材料。有对回收再利用的包装材料的管理规定，包括回收及检验标准，安全性检查措施，清洁、消毒的方法，有经检验合格后方可投入使用的规定等。</w:t>
      </w:r>
    </w:p>
    <w:p>
      <w:pPr>
        <w:spacing w:line="58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 xml:space="preserve">第四十四条 </w:t>
      </w:r>
      <w:r>
        <w:rPr>
          <w:rFonts w:hint="eastAsia" w:ascii="仿宋_GB2312" w:hAnsi="仿宋_GB2312" w:eastAsia="仿宋_GB2312" w:cs="仿宋_GB2312"/>
          <w:bCs/>
          <w:color w:val="000000"/>
          <w:sz w:val="32"/>
          <w:szCs w:val="32"/>
        </w:rPr>
        <w:t>企业应制定物料储存和分发制度。建立物料动态信息标示卡和出入库台账，确保物料做到账物相符。物料的使用应遵循“先进先出”和“近效期先出”原则制定物料的使用计划，处于合格状态的物料方可分发。</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物料的接收、发放和使用应有可追溯的清晰发放记录，经收发双方核实并在相应记录上签字确认。</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第四十五条</w:t>
      </w:r>
      <w:r>
        <w:rPr>
          <w:rFonts w:hint="eastAsia" w:ascii="仿宋_GB2312" w:hAnsi="仿宋_GB2312" w:eastAsia="仿宋_GB2312" w:cs="仿宋_GB2312"/>
          <w:bCs/>
          <w:kern w:val="0"/>
          <w:sz w:val="32"/>
          <w:szCs w:val="32"/>
        </w:rPr>
        <w:t xml:space="preserve"> 企业应按照《食品安全国家标准 乳制品良好生产规范》（GB 12693）的要求，制定防止微生物污染、化学污染、物理污染的生产过程控制措施外，还应满足以下要求：</w:t>
      </w:r>
    </w:p>
    <w:p>
      <w:pPr>
        <w:adjustRightInd w:val="0"/>
        <w:snapToGrid w:val="0"/>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企业应制定清洁作业区空气质量监控计划，每年应由有资质的第三方检测机构检测并出具空气洁净度的检测报告。在设备安装或工艺重大改造后应对清洁作业区的空气洁净度进行检测，符合要求后方可投入生产。日常运行中，清洁作业区的空气洁净度检测和监测按照下表进行。企业应制定准清洁作业区的空气洁净度控制要求，并定期进行监控。</w:t>
      </w:r>
    </w:p>
    <w:p>
      <w:pPr>
        <w:adjustRightInd w:val="0"/>
        <w:snapToGrid w:val="0"/>
        <w:spacing w:line="560" w:lineRule="exact"/>
        <w:ind w:firstLine="480" w:firstLineChars="150"/>
        <w:jc w:val="center"/>
        <w:rPr>
          <w:rFonts w:ascii="Times New Roman" w:hAnsi="Times New Roman" w:eastAsia="仿宋_GB2312"/>
          <w:kern w:val="0"/>
          <w:sz w:val="32"/>
          <w:szCs w:val="32"/>
        </w:rPr>
      </w:pPr>
      <w:r>
        <w:rPr>
          <w:rFonts w:hint="eastAsia" w:ascii="黑体" w:hAnsi="黑体" w:eastAsia="黑体" w:cs="黑体"/>
          <w:kern w:val="0"/>
          <w:sz w:val="32"/>
          <w:szCs w:val="32"/>
        </w:rPr>
        <w:t>表5</w:t>
      </w:r>
      <w:r>
        <w:rPr>
          <w:rFonts w:hint="eastAsia" w:ascii="Times New Roman" w:hAnsi="Times New Roman" w:eastAsia="仿宋_GB2312"/>
          <w:kern w:val="0"/>
          <w:sz w:val="32"/>
          <w:szCs w:val="32"/>
        </w:rPr>
        <w:t xml:space="preserve"> 乳制品生产清洁作业区动态标准控制表</w:t>
      </w:r>
    </w:p>
    <w:tbl>
      <w:tblPr>
        <w:tblStyle w:val="29"/>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2144"/>
        <w:gridCol w:w="2386"/>
        <w:gridCol w:w="219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3" w:type="dxa"/>
            <w:vAlign w:val="center"/>
          </w:tcPr>
          <w:p>
            <w:pPr>
              <w:adjustRightInd w:val="0"/>
              <w:snapToGrid w:val="0"/>
              <w:spacing w:line="240" w:lineRule="auto"/>
              <w:jc w:val="center"/>
              <w:rPr>
                <w:rFonts w:ascii="黑体" w:hAnsi="黑体" w:eastAsia="黑体"/>
                <w:color w:val="000000"/>
                <w:szCs w:val="21"/>
              </w:rPr>
            </w:pPr>
            <w:r>
              <w:rPr>
                <w:rFonts w:hint="eastAsia" w:ascii="黑体" w:hAnsi="黑体" w:eastAsia="黑体"/>
                <w:color w:val="000000"/>
                <w:szCs w:val="21"/>
              </w:rPr>
              <w:t>项目</w:t>
            </w:r>
          </w:p>
        </w:tc>
        <w:tc>
          <w:tcPr>
            <w:tcW w:w="2144" w:type="dxa"/>
            <w:vAlign w:val="center"/>
          </w:tcPr>
          <w:p>
            <w:pPr>
              <w:adjustRightInd w:val="0"/>
              <w:snapToGrid w:val="0"/>
              <w:spacing w:line="240" w:lineRule="auto"/>
              <w:jc w:val="center"/>
              <w:rPr>
                <w:rFonts w:ascii="黑体" w:hAnsi="黑体" w:eastAsia="黑体"/>
                <w:color w:val="000000"/>
                <w:szCs w:val="21"/>
              </w:rPr>
            </w:pPr>
            <w:r>
              <w:rPr>
                <w:rFonts w:hint="eastAsia" w:ascii="黑体" w:hAnsi="黑体" w:eastAsia="黑体"/>
                <w:color w:val="000000"/>
                <w:szCs w:val="21"/>
              </w:rPr>
              <w:t>内容</w:t>
            </w:r>
          </w:p>
        </w:tc>
        <w:tc>
          <w:tcPr>
            <w:tcW w:w="2386" w:type="dxa"/>
            <w:vAlign w:val="center"/>
          </w:tcPr>
          <w:p>
            <w:pPr>
              <w:adjustRightInd w:val="0"/>
              <w:snapToGrid w:val="0"/>
              <w:spacing w:line="240" w:lineRule="auto"/>
              <w:jc w:val="center"/>
              <w:rPr>
                <w:rFonts w:ascii="黑体" w:hAnsi="黑体" w:eastAsia="黑体"/>
                <w:color w:val="000000"/>
                <w:szCs w:val="21"/>
              </w:rPr>
            </w:pPr>
            <w:r>
              <w:rPr>
                <w:rFonts w:hint="eastAsia" w:ascii="黑体" w:hAnsi="黑体" w:eastAsia="黑体"/>
                <w:color w:val="000000"/>
                <w:szCs w:val="21"/>
              </w:rPr>
              <w:t>控制要求</w:t>
            </w:r>
          </w:p>
        </w:tc>
        <w:tc>
          <w:tcPr>
            <w:tcW w:w="2195" w:type="dxa"/>
            <w:vAlign w:val="center"/>
          </w:tcPr>
          <w:p>
            <w:pPr>
              <w:adjustRightInd w:val="0"/>
              <w:snapToGrid w:val="0"/>
              <w:spacing w:line="240" w:lineRule="auto"/>
              <w:jc w:val="center"/>
              <w:rPr>
                <w:rFonts w:ascii="黑体" w:hAnsi="黑体" w:eastAsia="黑体"/>
                <w:color w:val="000000"/>
                <w:szCs w:val="21"/>
              </w:rPr>
            </w:pPr>
            <w:r>
              <w:rPr>
                <w:rFonts w:hint="eastAsia" w:ascii="黑体" w:hAnsi="黑体" w:eastAsia="黑体"/>
                <w:color w:val="000000"/>
                <w:szCs w:val="21"/>
              </w:rPr>
              <w:t>检测方法</w:t>
            </w:r>
          </w:p>
        </w:tc>
        <w:tc>
          <w:tcPr>
            <w:tcW w:w="1811" w:type="dxa"/>
            <w:vAlign w:val="center"/>
          </w:tcPr>
          <w:p>
            <w:pPr>
              <w:adjustRightInd w:val="0"/>
              <w:snapToGrid w:val="0"/>
              <w:spacing w:line="240" w:lineRule="auto"/>
              <w:jc w:val="center"/>
              <w:rPr>
                <w:rFonts w:ascii="黑体" w:hAnsi="黑体" w:eastAsia="黑体"/>
                <w:color w:val="000000"/>
                <w:szCs w:val="21"/>
              </w:rPr>
            </w:pPr>
            <w:r>
              <w:rPr>
                <w:rFonts w:hint="eastAsia" w:ascii="黑体" w:hAnsi="黑体" w:eastAsia="黑体"/>
                <w:color w:val="000000"/>
                <w:szCs w:val="21"/>
              </w:rPr>
              <w:t>监控频次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3" w:type="dxa"/>
            <w:vMerge w:val="restart"/>
            <w:vAlign w:val="center"/>
          </w:tcPr>
          <w:p>
            <w:pPr>
              <w:adjustRightInd w:val="0"/>
              <w:snapToGrid w:val="0"/>
              <w:spacing w:line="240" w:lineRule="auto"/>
              <w:jc w:val="center"/>
              <w:rPr>
                <w:rFonts w:hint="eastAsia" w:ascii="黑体" w:hAnsi="黑体" w:eastAsia="黑体"/>
                <w:color w:val="000000"/>
                <w:szCs w:val="21"/>
              </w:rPr>
            </w:pPr>
            <w:r>
              <w:rPr>
                <w:rFonts w:hint="eastAsia" w:ascii="仿宋_GB2312" w:hAnsi="仿宋_GB2312" w:eastAsia="仿宋_GB2312" w:cs="仿宋_GB2312"/>
                <w:szCs w:val="21"/>
              </w:rPr>
              <w:t>微生物</w:t>
            </w:r>
          </w:p>
        </w:tc>
        <w:tc>
          <w:tcPr>
            <w:tcW w:w="2144" w:type="dxa"/>
            <w:vAlign w:val="center"/>
          </w:tcPr>
          <w:p>
            <w:pPr>
              <w:adjustRightInd w:val="0"/>
              <w:snapToGrid w:val="0"/>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空气浮游菌（动态）</w:t>
            </w:r>
          </w:p>
        </w:tc>
        <w:tc>
          <w:tcPr>
            <w:tcW w:w="2386" w:type="dxa"/>
            <w:vAlign w:val="center"/>
          </w:tcPr>
          <w:p>
            <w:pPr>
              <w:adjustRightInd w:val="0"/>
              <w:snapToGrid w:val="0"/>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≤300cfu/m3</w:t>
            </w:r>
          </w:p>
        </w:tc>
        <w:tc>
          <w:tcPr>
            <w:tcW w:w="2195" w:type="dxa"/>
            <w:vAlign w:val="center"/>
          </w:tcPr>
          <w:p>
            <w:pPr>
              <w:adjustRightInd w:val="0"/>
              <w:snapToGrid w:val="0"/>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GB/T 16293</w:t>
            </w:r>
          </w:p>
        </w:tc>
        <w:tc>
          <w:tcPr>
            <w:tcW w:w="1811" w:type="dxa"/>
            <w:vAlign w:val="center"/>
          </w:tcPr>
          <w:p>
            <w:pPr>
              <w:adjustRightInd w:val="0"/>
              <w:snapToGrid w:val="0"/>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73" w:type="dxa"/>
            <w:vMerge w:val="continue"/>
            <w:vAlign w:val="center"/>
          </w:tcPr>
          <w:p>
            <w:pPr>
              <w:adjustRightInd w:val="0"/>
              <w:snapToGrid w:val="0"/>
              <w:spacing w:line="240" w:lineRule="auto"/>
              <w:jc w:val="center"/>
              <w:rPr>
                <w:rFonts w:ascii="仿宋_GB2312" w:hAnsi="仿宋_GB2312" w:eastAsia="仿宋_GB2312" w:cs="仿宋_GB2312"/>
                <w:szCs w:val="21"/>
              </w:rPr>
            </w:pPr>
          </w:p>
        </w:tc>
        <w:tc>
          <w:tcPr>
            <w:tcW w:w="2144"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空气沉降菌（动态）</w:t>
            </w:r>
          </w:p>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（cfu/Φ90mm）</w:t>
            </w:r>
          </w:p>
        </w:tc>
        <w:tc>
          <w:tcPr>
            <w:tcW w:w="23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szCs w:val="21"/>
              </w:rPr>
              <w:t>64cfu/4h</w:t>
            </w:r>
          </w:p>
        </w:tc>
        <w:tc>
          <w:tcPr>
            <w:tcW w:w="2195"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GB/T 16294</w:t>
            </w:r>
          </w:p>
        </w:tc>
        <w:tc>
          <w:tcPr>
            <w:tcW w:w="1811"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73" w:type="dxa"/>
            <w:vMerge w:val="continue"/>
            <w:vAlign w:val="center"/>
          </w:tcPr>
          <w:p>
            <w:pPr>
              <w:adjustRightInd w:val="0"/>
              <w:snapToGrid w:val="0"/>
              <w:spacing w:line="240" w:lineRule="auto"/>
              <w:jc w:val="center"/>
              <w:rPr>
                <w:rFonts w:ascii="仿宋_GB2312" w:hAnsi="仿宋_GB2312" w:eastAsia="仿宋_GB2312" w:cs="仿宋_GB2312"/>
                <w:szCs w:val="21"/>
              </w:rPr>
            </w:pPr>
          </w:p>
        </w:tc>
        <w:tc>
          <w:tcPr>
            <w:tcW w:w="2144"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静态监测</w:t>
            </w:r>
          </w:p>
        </w:tc>
        <w:tc>
          <w:tcPr>
            <w:tcW w:w="6392" w:type="dxa"/>
            <w:gridSpan w:val="3"/>
            <w:vAlign w:val="center"/>
          </w:tcPr>
          <w:p>
            <w:pPr>
              <w:adjustRightInd w:val="0"/>
              <w:snapToGrid w:val="0"/>
              <w:spacing w:line="240" w:lineRule="auto"/>
              <w:jc w:val="center"/>
              <w:rPr>
                <w:rFonts w:ascii="仿宋_GB2312" w:hAnsi="仿宋_GB2312" w:eastAsia="仿宋_GB2312" w:cs="仿宋_GB2312"/>
                <w:szCs w:val="21"/>
              </w:rPr>
            </w:pPr>
            <w:r>
              <w:rPr>
                <w:rFonts w:hint="eastAsia" w:ascii="Times New Roman" w:hAnsi="Calibri" w:eastAsia="仿宋_GB2312" w:cs="Times New Roman"/>
                <w:color w:val="auto"/>
              </w:rPr>
              <w:t>监测频率</w:t>
            </w:r>
            <w:r>
              <w:rPr>
                <w:rFonts w:hint="eastAsia" w:ascii="仿宋_GB2312" w:hAnsi="仿宋_GB2312" w:eastAsia="仿宋_GB2312" w:cs="仿宋_GB2312"/>
                <w:szCs w:val="21"/>
              </w:rPr>
              <w:t>按照企业生产实际需要进行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73"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压差</w:t>
            </w:r>
          </w:p>
        </w:tc>
        <w:tc>
          <w:tcPr>
            <w:tcW w:w="2144"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清洁作业区与一般作业区之间</w:t>
            </w:r>
          </w:p>
        </w:tc>
        <w:tc>
          <w:tcPr>
            <w:tcW w:w="2386"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通过压差计测量</w:t>
            </w:r>
          </w:p>
        </w:tc>
        <w:tc>
          <w:tcPr>
            <w:tcW w:w="2195"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≥10Pa</w:t>
            </w:r>
          </w:p>
        </w:tc>
        <w:tc>
          <w:tcPr>
            <w:tcW w:w="1811"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73"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换气次数</w:t>
            </w:r>
          </w:p>
        </w:tc>
        <w:tc>
          <w:tcPr>
            <w:tcW w:w="2144"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通过测定风速验证换气次数</w:t>
            </w:r>
          </w:p>
        </w:tc>
        <w:tc>
          <w:tcPr>
            <w:tcW w:w="2386"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通过风速仪测定</w:t>
            </w:r>
          </w:p>
        </w:tc>
        <w:tc>
          <w:tcPr>
            <w:tcW w:w="2195"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≥12次/h</w:t>
            </w:r>
          </w:p>
        </w:tc>
        <w:tc>
          <w:tcPr>
            <w:tcW w:w="1811"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更换高效过滤器时或1次/月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3"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温度</w:t>
            </w:r>
          </w:p>
        </w:tc>
        <w:tc>
          <w:tcPr>
            <w:tcW w:w="2144"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386"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通过温度表测定</w:t>
            </w:r>
          </w:p>
        </w:tc>
        <w:tc>
          <w:tcPr>
            <w:tcW w:w="2195"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18-26℃</w:t>
            </w:r>
            <w:r>
              <w:rPr>
                <w:rFonts w:hint="eastAsia" w:ascii="仿宋_GB2312" w:hAnsi="仿宋_GB2312" w:eastAsia="仿宋_GB2312" w:cs="仿宋_GB2312"/>
                <w:color w:val="000000"/>
                <w:sz w:val="24"/>
                <w:szCs w:val="24"/>
                <w:vertAlign w:val="superscript"/>
              </w:rPr>
              <w:t>a</w:t>
            </w:r>
          </w:p>
        </w:tc>
        <w:tc>
          <w:tcPr>
            <w:tcW w:w="1811"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3"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相对湿度</w:t>
            </w:r>
          </w:p>
        </w:tc>
        <w:tc>
          <w:tcPr>
            <w:tcW w:w="2144"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386"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通过湿度表测定</w:t>
            </w:r>
          </w:p>
        </w:tc>
        <w:tc>
          <w:tcPr>
            <w:tcW w:w="2195"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≤70%</w:t>
            </w:r>
          </w:p>
        </w:tc>
        <w:tc>
          <w:tcPr>
            <w:tcW w:w="1811" w:type="dxa"/>
            <w:vAlign w:val="center"/>
          </w:tcPr>
          <w:p>
            <w:pPr>
              <w:adjustRightInd w:val="0"/>
              <w:snapToGrid w:val="0"/>
              <w:spacing w:line="24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09" w:type="dxa"/>
            <w:gridSpan w:val="5"/>
            <w:vAlign w:val="center"/>
          </w:tcPr>
          <w:p>
            <w:pPr>
              <w:spacing w:line="240" w:lineRule="auto"/>
              <w:ind w:firstLine="315" w:firstLineChars="150"/>
              <w:rPr>
                <w:rFonts w:ascii="仿宋_GB2312" w:hAnsi="仿宋_GB2312" w:eastAsia="仿宋_GB2312" w:cs="仿宋_GB2312"/>
                <w:szCs w:val="21"/>
              </w:rPr>
            </w:pPr>
            <w:r>
              <w:rPr>
                <w:rFonts w:hint="eastAsia" w:ascii="仿宋_GB2312" w:hAnsi="仿宋_GB2312" w:eastAsia="仿宋_GB2312" w:cs="仿宋_GB2312"/>
                <w:color w:val="000000"/>
                <w:szCs w:val="21"/>
              </w:rPr>
              <w:t>说明：换气次数通过风速进行转换后测定。计算公式为：N=3600SV/A，监测时通过风速计算，其中，N：换气次数（次/h）、S：风口通风面积（m</w:t>
            </w:r>
            <w:r>
              <w:rPr>
                <w:rFonts w:hint="eastAsia" w:ascii="仿宋_GB2312" w:hAnsi="仿宋_GB2312" w:eastAsia="仿宋_GB2312" w:cs="仿宋_GB2312"/>
                <w:color w:val="000000"/>
                <w:szCs w:val="21"/>
                <w:vertAlign w:val="superscript"/>
              </w:rPr>
              <w:t>2</w:t>
            </w:r>
            <w:r>
              <w:rPr>
                <w:rFonts w:hint="eastAsia" w:ascii="仿宋_GB2312" w:hAnsi="仿宋_GB2312" w:eastAsia="仿宋_GB2312" w:cs="仿宋_GB2312"/>
                <w:color w:val="000000"/>
                <w:szCs w:val="21"/>
              </w:rPr>
              <w:t>）、A：车间容积（m</w:t>
            </w:r>
            <w:r>
              <w:rPr>
                <w:rFonts w:hint="eastAsia" w:ascii="仿宋_GB2312" w:hAnsi="仿宋_GB2312" w:eastAsia="仿宋_GB2312" w:cs="仿宋_GB2312"/>
                <w:color w:val="000000"/>
                <w:szCs w:val="21"/>
                <w:vertAlign w:val="superscript"/>
              </w:rPr>
              <w:t>3</w:t>
            </w:r>
            <w:r>
              <w:rPr>
                <w:rFonts w:hint="eastAsia" w:ascii="仿宋_GB2312" w:hAnsi="仿宋_GB2312" w:eastAsia="仿宋_GB2312" w:cs="仿宋_GB2312"/>
                <w:color w:val="000000"/>
                <w:szCs w:val="21"/>
              </w:rPr>
              <w:t>）、V：测得风口平均风速（m/s）。换气次数适用于层高小于4.0m的清洁作业区。层高4.0m以上的清洁作业区可适当调整换气次数，但应确保清洁作业区的洁净度。</w:t>
            </w:r>
          </w:p>
          <w:p>
            <w:pPr>
              <w:adjustRightInd w:val="0"/>
              <w:snapToGrid w:val="0"/>
              <w:spacing w:line="240" w:lineRule="auto"/>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a有特殊要求时，按规定。</w:t>
            </w:r>
          </w:p>
          <w:p>
            <w:pPr>
              <w:widowControl/>
              <w:numPr>
                <w:ilvl w:val="255"/>
                <w:numId w:val="0"/>
              </w:numPr>
              <w:adjustRightInd w:val="0"/>
              <w:snapToGrid w:val="0"/>
              <w:spacing w:line="240" w:lineRule="auto"/>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1.表中各数值均为平均值，单点最大值不宜超过平均值的两倍。</w:t>
            </w:r>
          </w:p>
          <w:p>
            <w:pPr>
              <w:widowControl/>
              <w:numPr>
                <w:ilvl w:val="255"/>
                <w:numId w:val="0"/>
              </w:numPr>
              <w:adjustRightInd w:val="0"/>
              <w:snapToGrid w:val="0"/>
              <w:spacing w:line="240" w:lineRule="auto"/>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2.动态监测时可使用多个沉降皿连续进行监控，</w:t>
            </w:r>
            <w:r>
              <w:rPr>
                <w:rFonts w:hint="eastAsia" w:ascii="仿宋_GB2312" w:hAnsi="仿宋_GB2312" w:eastAsia="仿宋_GB2312" w:cs="仿宋_GB2312"/>
                <w:color w:val="auto"/>
                <w:szCs w:val="21"/>
              </w:rPr>
              <w:t>但单个沉降皿的暴露时间需要大于30min，小于4h，</w:t>
            </w:r>
            <w:r>
              <w:rPr>
                <w:rFonts w:hint="eastAsia" w:ascii="仿宋_GB2312" w:hAnsi="仿宋_GB2312" w:eastAsia="仿宋_GB2312" w:cs="仿宋_GB2312"/>
                <w:color w:val="000000"/>
                <w:szCs w:val="21"/>
              </w:rPr>
              <w:t>按实际时间计算沉降菌。</w:t>
            </w:r>
          </w:p>
          <w:p>
            <w:pPr>
              <w:widowControl/>
              <w:numPr>
                <w:ilvl w:val="255"/>
                <w:numId w:val="0"/>
              </w:numPr>
              <w:adjustRightInd w:val="0"/>
              <w:snapToGrid w:val="0"/>
              <w:spacing w:line="240" w:lineRule="auto"/>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3.静态监测</w:t>
            </w:r>
            <w:r>
              <w:rPr>
                <w:rFonts w:hint="eastAsia" w:ascii="仿宋_GB2312" w:hAnsi="仿宋_GB2312" w:eastAsia="仿宋_GB2312" w:cs="仿宋_GB2312"/>
                <w:szCs w:val="21"/>
              </w:rPr>
              <w:t>控制要求：空气浮游菌</w:t>
            </w:r>
            <w:r>
              <w:rPr>
                <w:rFonts w:hint="eastAsia" w:ascii="仿宋_GB2312" w:hAnsi="仿宋_GB2312" w:eastAsia="仿宋_GB2312" w:cs="仿宋_GB2312"/>
                <w:color w:val="000000"/>
                <w:szCs w:val="21"/>
              </w:rPr>
              <w:t>≤</w:t>
            </w:r>
            <w:r>
              <w:rPr>
                <w:rFonts w:hint="eastAsia" w:ascii="仿宋_GB2312" w:hAnsi="仿宋_GB2312" w:eastAsia="仿宋_GB2312" w:cs="仿宋_GB2312"/>
                <w:szCs w:val="21"/>
              </w:rPr>
              <w:t>150 cfu/m</w:t>
            </w:r>
            <w:r>
              <w:rPr>
                <w:rFonts w:hint="eastAsia" w:ascii="仿宋_GB2312" w:hAnsi="仿宋_GB2312" w:eastAsia="仿宋_GB2312" w:cs="仿宋_GB2312"/>
                <w:szCs w:val="21"/>
                <w:vertAlign w:val="superscript"/>
              </w:rPr>
              <w:t>3</w:t>
            </w:r>
            <w:r>
              <w:rPr>
                <w:rFonts w:hint="eastAsia" w:ascii="仿宋_GB2312" w:hAnsi="仿宋_GB2312" w:eastAsia="仿宋_GB2312" w:cs="仿宋_GB2312"/>
                <w:szCs w:val="21"/>
              </w:rPr>
              <w:t>，空气沉降菌</w:t>
            </w:r>
            <w:r>
              <w:rPr>
                <w:rFonts w:hint="eastAsia" w:ascii="仿宋_GB2312" w:hAnsi="仿宋_GB2312" w:eastAsia="仿宋_GB2312" w:cs="仿宋_GB2312"/>
                <w:color w:val="000000"/>
                <w:szCs w:val="21"/>
              </w:rPr>
              <w:t>≤</w:t>
            </w:r>
            <w:r>
              <w:rPr>
                <w:rFonts w:hint="eastAsia" w:ascii="仿宋_GB2312" w:hAnsi="仿宋_GB2312" w:eastAsia="仿宋_GB2312" w:cs="仿宋_GB2312"/>
                <w:szCs w:val="21"/>
              </w:rPr>
              <w:t>4cfu/30min/φ90mm。</w:t>
            </w:r>
          </w:p>
        </w:tc>
      </w:tr>
    </w:tbl>
    <w:p>
      <w:pPr>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（二）用于直接接触食品或用于直接接触食品的容器和设备清洁的压缩空气或其它惰性气体应进行过滤净化处理，以防止造成间接污染。</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bCs/>
          <w:kern w:val="0"/>
          <w:sz w:val="32"/>
          <w:szCs w:val="32"/>
        </w:rPr>
        <w:t>用于生产设备的可能直接或间接接触食品的部件润滑油应当是食用油脂或能保证食品安全要求的其他油脂。</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（四）当进行现场维修、维护及施工等工作时，应采取适当措施避免异物、异味、碎屑等污染产品。</w:t>
      </w:r>
    </w:p>
    <w:p>
      <w:pPr>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 xml:space="preserve"> 第四十六条 </w:t>
      </w:r>
      <w:r>
        <w:rPr>
          <w:rFonts w:hint="eastAsia" w:ascii="仿宋_GB2312" w:hAnsi="仿宋_GB2312" w:eastAsia="仿宋_GB2312" w:cs="仿宋_GB2312"/>
          <w:bCs/>
          <w:color w:val="000000"/>
          <w:sz w:val="32"/>
          <w:szCs w:val="32"/>
        </w:rPr>
        <w:t>应制定生产人员工作服和工作鞋清洁消毒程序，生产中应注意保持工作服和工作鞋干净完好，必要时及时更换。指定区域使用的工作服和工作鞋不能在指定区域以外的地方穿着。清洁作业区工作服和工作鞋应单独清洗、消毒、存放，定期检查，确保符合清洁作业区使用要求。</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第四十七条</w:t>
      </w:r>
      <w:r>
        <w:rPr>
          <w:rFonts w:hint="eastAsia" w:ascii="仿宋_GB2312" w:hAnsi="仿宋_GB2312" w:eastAsia="仿宋_GB2312" w:cs="仿宋_GB2312"/>
          <w:bCs/>
          <w:kern w:val="0"/>
          <w:sz w:val="32"/>
          <w:szCs w:val="32"/>
        </w:rPr>
        <w:t xml:space="preserve"> 建立清洁和消毒制度，制定适宜的计划和程序。确保对所有区域进行清洁，重要区域、设备和器具应进行特殊清洁。严格执行监督程序，以确保人工清洁、就地清洗操作（CIP）以及设备维护等操作流程符合相关规定和标准要求。对清洁和消毒程序进行记录，如洗涤剂和消毒剂的品种、作用时间、浓度、对象、温度等。</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清洁、消毒时应做好产品防护，采用与原料、产品和生产工艺相适应的清洗剂、消毒剂和清洗消毒方式，避免对产品造成污染。</w:t>
      </w:r>
    </w:p>
    <w:p>
      <w:pPr>
        <w:spacing w:line="56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第四十八条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color w:val="000000"/>
          <w:sz w:val="32"/>
          <w:szCs w:val="32"/>
        </w:rPr>
        <w:t>建立设备设施管理制度，确保设备设施正常运行。设备设施应指定专人进行管理，设备设施的标识、台账、说明书、档案、维护和维修记录应准确、齐全。</w:t>
      </w:r>
    </w:p>
    <w:p>
      <w:pPr>
        <w:spacing w:line="560" w:lineRule="exact"/>
        <w:ind w:firstLine="156" w:firstLineChars="49"/>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应对生产设备、检验设备、设施的运行状态进行标识管理，明确各种状态及标识的定义，并定期对标识进行检查和维护。</w:t>
      </w:r>
    </w:p>
    <w:p>
      <w:pPr>
        <w:spacing w:line="560" w:lineRule="exact"/>
        <w:ind w:firstLine="156" w:firstLineChars="49"/>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应制定设备设施维修维护计划，并定期有效实施，确保设备设施正常运行。需检定或校准的设备设施应定期检定或校准。检验设备设施应定期进行维护和期间核查，保证检验设备的性能满足要求。检验设备应有使用记录。</w:t>
      </w:r>
    </w:p>
    <w:p>
      <w:pPr>
        <w:pStyle w:val="70"/>
        <w:spacing w:line="560" w:lineRule="exact"/>
        <w:ind w:firstLine="640"/>
        <w:rPr>
          <w:rFonts w:ascii="仿宋_GB2312" w:hAnsi="仿宋_GB2312" w:eastAsia="仿宋_GB2312" w:cs="仿宋_GB2312"/>
          <w:bCs/>
          <w:color w:val="000000"/>
          <w:sz w:val="32"/>
          <w:szCs w:val="32"/>
        </w:rPr>
      </w:pPr>
      <w:r>
        <w:rPr>
          <w:rFonts w:hint="eastAsia" w:ascii="黑体" w:hAnsi="黑体" w:eastAsia="黑体" w:cs="黑体"/>
          <w:bCs/>
          <w:sz w:val="32"/>
          <w:szCs w:val="32"/>
        </w:rPr>
        <w:t>第四十九条</w:t>
      </w:r>
      <w:r>
        <w:rPr>
          <w:rFonts w:hint="eastAsia" w:ascii="仿宋_GB2312" w:hAnsi="仿宋_GB2312" w:eastAsia="仿宋_GB2312" w:cs="仿宋_GB2312"/>
          <w:bCs/>
          <w:sz w:val="32"/>
          <w:szCs w:val="32"/>
        </w:rPr>
        <w:t xml:space="preserve"> 应建立物料运输管理制度，不得将原辅料、产品与有毒有害物品一同运输。运输工具、车辆应定期检查卫生清洁情况，运输条件应符合物料的储存要求（温度、湿度等）。</w:t>
      </w:r>
    </w:p>
    <w:p>
      <w:pPr>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rPr>
      </w:pPr>
      <w:r>
        <w:rPr>
          <w:rFonts w:hint="eastAsia" w:ascii="黑体" w:hAnsi="黑体" w:eastAsia="黑体" w:cs="黑体"/>
          <w:bCs/>
          <w:color w:val="000000" w:themeColor="text1"/>
          <w:kern w:val="0"/>
          <w:sz w:val="32"/>
          <w:szCs w:val="32"/>
        </w:rPr>
        <w:t>第五十条</w:t>
      </w:r>
      <w:r>
        <w:rPr>
          <w:rFonts w:hint="eastAsia" w:ascii="仿宋_GB2312" w:hAnsi="仿宋_GB2312" w:eastAsia="仿宋_GB2312" w:cs="仿宋_GB2312"/>
          <w:bCs/>
          <w:color w:val="000000" w:themeColor="text1"/>
          <w:kern w:val="0"/>
          <w:sz w:val="32"/>
          <w:szCs w:val="32"/>
        </w:rPr>
        <w:t xml:space="preserve"> 企业应建立产品追溯制度，应理清乳制品原辅材料来源、生产环节及衔接、物料流向、信息采集及记录规则等，建立顺向可追踪、逆向可溯源的乳制品质量安全追溯制度，明确追溯目标、措施和责任人员，并定期实施内部审核，以评价追溯体系的有效性。企业可根据实际情况选择采用电子或纸质形式记录，鼓励采用二维码、条码、射频识别（RFID）等追溯形式，采用信息化手段采集、留存信息。</w:t>
      </w:r>
    </w:p>
    <w:p>
      <w:pPr>
        <w:adjustRightInd w:val="0"/>
        <w:snapToGrid w:val="0"/>
        <w:spacing w:line="560" w:lineRule="exact"/>
        <w:ind w:firstLine="640" w:firstLineChars="20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一）企业应将包括原辅材料管理记录［包括：生乳验收记录、原辅材料（包括：食品添加剂、包装材料、其他材料）验收记录、库房保管及物料领取记录、进货台账、不合格原料处理记录等］、生产过程管理记录（包括生产计划记录、领料记录、投料记录、返库记录、关键控制点控制记录等）、产品管理记录（包括：成品包装记录、成品检验记录、产品留样记录、产品放行记录、产品贮存记录、产品销售记录、产品退货处置记录、不合格产品召回记录、产品销毁记录、停产复产记录等）、人员记录（包括从业人员健康检查记录/员工管理记录、人员培训记录等）、环境场所清洁记录、设备记录（包括设备台账、设备清洗消毒记录、设备维护保养、使用及检修记录等）、风险防控记录（包括：</w:t>
      </w:r>
      <w:r>
        <w:rPr>
          <w:rFonts w:hint="eastAsia" w:ascii="仿宋_GB2312" w:hAnsi="仿宋_GB2312" w:eastAsia="仿宋_GB2312" w:cs="仿宋_GB2312"/>
          <w:color w:val="000000" w:themeColor="text1"/>
          <w:sz w:val="32"/>
          <w:szCs w:val="32"/>
        </w:rPr>
        <w:t>风险收集记录、食品安全事故处置记录、消费者投诉受理记录</w:t>
      </w:r>
      <w:r>
        <w:rPr>
          <w:rFonts w:hint="eastAsia" w:ascii="仿宋_GB2312" w:hAnsi="仿宋_GB2312" w:eastAsia="仿宋_GB2312" w:cs="仿宋_GB2312"/>
          <w:bCs/>
          <w:color w:val="000000" w:themeColor="text1"/>
          <w:kern w:val="0"/>
          <w:sz w:val="32"/>
          <w:szCs w:val="32"/>
        </w:rPr>
        <w:t>）等方面纳入追溯体系，具体乳制品生产企业追溯记录清单见附件1。</w:t>
      </w:r>
    </w:p>
    <w:p>
      <w:pPr>
        <w:adjustRightInd w:val="0"/>
        <w:snapToGrid w:val="0"/>
        <w:spacing w:line="560" w:lineRule="exact"/>
        <w:ind w:firstLine="64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二）企业应当按照追溯制度对不符合相关法律法规等规定或生产过程中发生食品质量安全问题的，查清流向，召回产品，排查原因，迅速整改。企业可依法采取补救措施、继续销售的，应当记录采取补救措施的时间、地点、人员、处理方式等。</w:t>
      </w:r>
    </w:p>
    <w:p>
      <w:pPr>
        <w:adjustRightInd w:val="0"/>
        <w:snapToGrid w:val="0"/>
        <w:spacing w:line="560" w:lineRule="exact"/>
        <w:ind w:firstLine="64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原辅材料出现问题的，应当立即通报供应商，并对该供应商提供其他原辅材料进行排查，同时重新审核供应商资格。</w:t>
      </w:r>
    </w:p>
    <w:p>
      <w:pPr>
        <w:adjustRightInd w:val="0"/>
        <w:snapToGrid w:val="0"/>
        <w:spacing w:line="560" w:lineRule="exact"/>
        <w:ind w:firstLine="64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三）企业应严格按照追溯制度开展信息采集、记录、整理、分析等工作，确保各项记录真实、可靠，实现所有环节信息有效衔接。企业可结合实际生产情况和保障乳制品质量安全需要，适当调整或增加记录内容。</w:t>
      </w:r>
    </w:p>
    <w:p>
      <w:pPr>
        <w:adjustRightInd w:val="0"/>
        <w:snapToGrid w:val="0"/>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第五十一条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sz w:val="32"/>
          <w:szCs w:val="32"/>
        </w:rPr>
        <w:t>应以实际生产周期为基础进行批号管理或可追溯性编码。批是指按照同一产品配方，一个生产周期内，在同一条生产线上、一次投料、一次连续包装，以相同工艺、稳定条件下持续生产出具有预期质量均一、稳定的一批相同包装规格的成品。</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第五十二条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eastAsia="zh-CN"/>
        </w:rPr>
        <w:t>应</w:t>
      </w:r>
      <w:r>
        <w:rPr>
          <w:rFonts w:hint="eastAsia" w:ascii="仿宋_GB2312" w:hAnsi="仿宋_GB2312" w:eastAsia="仿宋_GB2312" w:cs="仿宋_GB2312"/>
          <w:bCs/>
          <w:kern w:val="0"/>
          <w:sz w:val="32"/>
          <w:szCs w:val="32"/>
        </w:rPr>
        <w:t>建立出厂检验管理制度，检验记录应真实、准确。出厂检验应依据产品执行标准规定的所有检验项目进行每批次检验。针对短保质期乳制品（如巴氏杀菌乳、低温发酵乳等），企业应根据产品特性建立微生物出厂检验制度，明确主体责任，可</w:t>
      </w:r>
      <w:r>
        <w:rPr>
          <w:rFonts w:hint="eastAsia" w:ascii="仿宋_GB2312" w:hAnsi="仿宋_GB2312" w:eastAsia="仿宋_GB2312" w:cs="仿宋_GB2312"/>
          <w:sz w:val="32"/>
          <w:szCs w:val="32"/>
        </w:rPr>
        <w:t>采用有效的快速检测方法开展检验</w:t>
      </w:r>
      <w:r>
        <w:rPr>
          <w:rFonts w:hint="eastAsia" w:ascii="仿宋_GB2312" w:hAnsi="仿宋_GB2312" w:eastAsia="仿宋_GB2312" w:cs="仿宋_GB2312"/>
          <w:bCs/>
          <w:kern w:val="0"/>
          <w:sz w:val="32"/>
          <w:szCs w:val="32"/>
        </w:rPr>
        <w:t>，或通过有效过程控制措施，保障产品符合食品安全标准。检验结果符合相应食品安全国家标准的合格产品应标注可追溯编码，并可追溯到相应的出厂检验报告。</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第五十三条</w:t>
      </w:r>
      <w:r>
        <w:rPr>
          <w:rFonts w:hint="eastAsia" w:ascii="仿宋_GB2312" w:hAnsi="仿宋_GB2312" w:eastAsia="仿宋_GB2312" w:cs="仿宋_GB2312"/>
          <w:bCs/>
          <w:kern w:val="0"/>
          <w:sz w:val="32"/>
          <w:szCs w:val="32"/>
        </w:rPr>
        <w:t xml:space="preserve"> 企业可以使用非国家标准检验方法进行检验，但应对非标方法进行有效的确认，确保检验数据准确。当检验结果出现不符合食品安全国家标准或企业标准规定的限量时，应采用食品安全国家标准规定的检验方法进行验证；无食品安全国家标准检验方法的应采用必要的质量控制措施进行监控。</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第五十四条</w:t>
      </w:r>
      <w:r>
        <w:rPr>
          <w:rFonts w:hint="eastAsia" w:ascii="仿宋_GB2312" w:hAnsi="仿宋_GB2312" w:eastAsia="仿宋_GB2312" w:cs="仿宋_GB2312"/>
          <w:bCs/>
          <w:kern w:val="0"/>
          <w:sz w:val="32"/>
          <w:szCs w:val="32"/>
        </w:rPr>
        <w:t xml:space="preserve"> 应建立产品留样制度，及时保留样品。产品留样间应满足产品储存条件要求，留样数量应满足检验要求，产品留样应保存至保质期满，并有相应记录。</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第五十五条</w:t>
      </w:r>
      <w:r>
        <w:rPr>
          <w:rFonts w:hint="eastAsia" w:ascii="仿宋_GB2312" w:hAnsi="仿宋_GB2312" w:eastAsia="仿宋_GB2312" w:cs="仿宋_GB2312"/>
          <w:bCs/>
          <w:kern w:val="0"/>
          <w:sz w:val="32"/>
          <w:szCs w:val="32"/>
        </w:rPr>
        <w:t xml:space="preserve"> 建立产品出厂放行制度。</w:t>
      </w:r>
      <w:r>
        <w:rPr>
          <w:rFonts w:hint="eastAsia" w:ascii="仿宋_GB2312" w:hAnsi="仿宋_GB2312" w:eastAsia="仿宋_GB2312" w:cs="仿宋_GB2312"/>
          <w:bCs/>
          <w:sz w:val="32"/>
          <w:szCs w:val="32"/>
        </w:rPr>
        <w:t>明确批准出厂的标准、职责。</w:t>
      </w:r>
      <w:r>
        <w:rPr>
          <w:rFonts w:hint="eastAsia" w:ascii="仿宋_GB2312" w:hAnsi="仿宋_GB2312" w:eastAsia="仿宋_GB2312" w:cs="仿宋_GB2312"/>
          <w:bCs/>
          <w:kern w:val="0"/>
          <w:sz w:val="32"/>
          <w:szCs w:val="32"/>
        </w:rPr>
        <w:t>产品出厂检验合格后方可批准放行。</w:t>
      </w:r>
    </w:p>
    <w:p>
      <w:pPr>
        <w:adjustRightInd w:val="0"/>
        <w:snapToGrid w:val="0"/>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第五十六条</w:t>
      </w:r>
      <w:r>
        <w:rPr>
          <w:rFonts w:hint="eastAsia" w:ascii="仿宋_GB2312" w:hAnsi="仿宋_GB2312" w:eastAsia="仿宋_GB2312" w:cs="仿宋_GB2312"/>
          <w:bCs/>
          <w:kern w:val="0"/>
          <w:sz w:val="32"/>
          <w:szCs w:val="32"/>
        </w:rPr>
        <w:t xml:space="preserve"> 应按照《食品安全国家标准 乳制品良好生产规范》（GB 12693）、《食品召回管理办法》等有关规定，建立不安全产品的召回制度和实施产品召回的电子信息管理规定。应对召回的产品采取补救、无害化处理等措施，记录召回和处理情况，并向所在地县级人民政府市场监管部门报告。</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第五十七条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lang w:eastAsia="zh-CN"/>
        </w:rPr>
        <w:t>应</w:t>
      </w:r>
      <w:r>
        <w:rPr>
          <w:rFonts w:hint="eastAsia" w:ascii="仿宋_GB2312" w:hAnsi="仿宋_GB2312" w:eastAsia="仿宋_GB2312" w:cs="仿宋_GB2312"/>
          <w:bCs/>
          <w:kern w:val="0"/>
          <w:sz w:val="32"/>
          <w:szCs w:val="32"/>
        </w:rPr>
        <w:t>制定原辅料、过程产品和成品的不合格管理制度及相关处理办法，建立和保存不合格品处理过程记录。</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第五十八条</w:t>
      </w:r>
      <w:r>
        <w:rPr>
          <w:rFonts w:hint="eastAsia" w:ascii="仿宋_GB2312" w:hAnsi="仿宋_GB2312" w:eastAsia="仿宋_GB2312" w:cs="仿宋_GB2312"/>
          <w:bCs/>
          <w:kern w:val="0"/>
          <w:sz w:val="32"/>
          <w:szCs w:val="32"/>
        </w:rPr>
        <w:t xml:space="preserve"> 应定期对已建立的生产质量管理体系的运行情况进行自查，保证其有效运行，并形成自查报告。</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第五十九条</w:t>
      </w:r>
      <w:r>
        <w:rPr>
          <w:rFonts w:hint="eastAsia" w:ascii="仿宋_GB2312" w:hAnsi="仿宋_GB2312" w:eastAsia="仿宋_GB2312" w:cs="仿宋_GB2312"/>
          <w:bCs/>
          <w:kern w:val="0"/>
          <w:sz w:val="32"/>
          <w:szCs w:val="32"/>
        </w:rPr>
        <w:t xml:space="preserve"> 应主动收集国家发布的乳制品安全风险监测、行业和媒体发布的有关乳制品质量安全风险信息，建立风险收集记录，针对相关信息开展自查和评价，并采取有效措施防范食品安全风险。</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建立消费者投诉处理制度，对消费者提出的意见、投诉等，企业相关部门应作记录并查找原因，妥善处理。</w:t>
      </w:r>
    </w:p>
    <w:p>
      <w:pPr>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kern w:val="0"/>
          <w:sz w:val="32"/>
          <w:szCs w:val="32"/>
        </w:rPr>
        <w:t>第六十条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color w:val="000000"/>
          <w:sz w:val="32"/>
          <w:szCs w:val="32"/>
        </w:rPr>
        <w:t>应制定食品安全事故处理制度，对可能发生的食品安全事故或与食品安全有关的特殊事件，预先制定应对的方案和措施，必要时做出响应，以减少食品可能发生安全危害的影响。</w:t>
      </w:r>
    </w:p>
    <w:p>
      <w:pPr>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当生产条件发生变化，不再符合食品安全要求的，应当立即采取整改措施；有发生食品安全事故潜在风险的，应当立即停止生产，并向所在地县级人民政府市场监督管理部门报告。特殊事件包括使产品受到不可抗力因素影响的情况，如突然停电、停水、机械故障、自然灾害、突发疫情、恐怖袭击等。保存应急预案实施记录，定期演练并验证其有效性。</w:t>
      </w:r>
    </w:p>
    <w:p>
      <w:pPr>
        <w:spacing w:line="560" w:lineRule="exact"/>
        <w:ind w:firstLine="156" w:firstLineChars="49"/>
        <w:rPr>
          <w:rFonts w:ascii="仿宋_GB2312" w:hAnsi="仿宋_GB2312" w:eastAsia="仿宋_GB2312" w:cs="仿宋_GB2312"/>
          <w:bCs/>
          <w:color w:val="00000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第六十一条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bCs/>
          <w:color w:val="000000"/>
          <w:sz w:val="32"/>
          <w:szCs w:val="32"/>
        </w:rPr>
        <w:t>建立文件管理制度，并建立完整的食品质量安全管理档案。文件应分类归档、保存，分发和使用应为批准的现行有效文本。已废除或失效的文件除留档备查外，不应在工作现场出现。</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bCs/>
          <w:kern w:val="0"/>
          <w:sz w:val="32"/>
          <w:szCs w:val="32"/>
        </w:rPr>
        <w:t>第六十二条</w:t>
      </w:r>
      <w:r>
        <w:rPr>
          <w:rFonts w:hint="eastAsia" w:ascii="仿宋_GB2312" w:hAnsi="仿宋_GB2312" w:eastAsia="仿宋_GB2312" w:cs="仿宋_GB2312"/>
          <w:bCs/>
          <w:kern w:val="0"/>
          <w:sz w:val="32"/>
          <w:szCs w:val="32"/>
        </w:rPr>
        <w:t xml:space="preserve"> 建立记录管理制度，确保记录内容应完整、真实、准确。所有与产品保质期相关的记录（包括电子记录）保存时间不得少于产品保质期满后6个月，其他记录根据其内容及性质另行规定。记录的任何更改都应当标注姓名和日期，并使原有信息仍清晰可查。</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企业建立的台账和生产过程的记录包括但不限于：生鲜乳查验记录、进货查验记录、设备台账、进货台账、环境场所清洁记录、生产设备清洗消毒记录、设备维修记录、库房保管及物料领取记录、生产投料记录、关键控制点控制记录、出厂检验记录、产品检验留样记录、不合格产品处置记录、不合格原料处理记录、产品销售记录、不合格产品召回记录、退货处置记录、从业人员健康检查记录、培训记录、消费者投诉受理记录、风险收集记录、食品安全事故处置记录、检验设备的使用记录、停产复产记录</w:t>
      </w:r>
      <w:r>
        <w:rPr>
          <w:rFonts w:hint="eastAsia" w:ascii="仿宋_GB2312" w:hAnsi="仿宋_GB2312" w:eastAsia="仿宋_GB2312" w:cs="仿宋_GB2312"/>
          <w:bCs/>
          <w:color w:val="000000"/>
          <w:sz w:val="32"/>
          <w:szCs w:val="32"/>
        </w:rPr>
        <w:t>及《食品追溯 信息记录要求》（GB/T 37029—2018）中要求的其他记录</w:t>
      </w:r>
      <w:r>
        <w:rPr>
          <w:rFonts w:hint="eastAsia" w:ascii="仿宋_GB2312" w:hAnsi="仿宋_GB2312" w:eastAsia="仿宋_GB2312" w:cs="仿宋_GB2312"/>
          <w:bCs/>
          <w:kern w:val="0"/>
          <w:sz w:val="32"/>
          <w:szCs w:val="32"/>
        </w:rPr>
        <w:t>等。</w:t>
      </w:r>
    </w:p>
    <w:p>
      <w:pPr>
        <w:pStyle w:val="3"/>
        <w:adjustRightInd w:val="0"/>
        <w:snapToGrid w:val="0"/>
        <w:spacing w:line="560" w:lineRule="exact"/>
        <w:rPr>
          <w:rFonts w:ascii="黑体" w:hAnsi="黑体" w:eastAsia="黑体" w:cs="黑体"/>
          <w:sz w:val="32"/>
          <w:szCs w:val="32"/>
        </w:rPr>
      </w:pPr>
      <w:bookmarkStart w:id="7" w:name="_Toc493510005"/>
      <w:r>
        <w:rPr>
          <w:rFonts w:hint="eastAsia" w:ascii="黑体" w:hAnsi="黑体" w:eastAsia="黑体" w:cs="黑体"/>
          <w:sz w:val="32"/>
          <w:szCs w:val="32"/>
        </w:rPr>
        <w:t>第七章  试制产品检验合格报告</w:t>
      </w:r>
      <w:bookmarkEnd w:id="7"/>
    </w:p>
    <w:p>
      <w:pPr>
        <w:tabs>
          <w:tab w:val="left" w:pos="0"/>
        </w:tabs>
        <w:adjustRightInd w:val="0"/>
        <w:snapToGrid w:val="0"/>
        <w:spacing w:before="240" w:after="240" w:line="560" w:lineRule="exact"/>
        <w:ind w:firstLine="640" w:firstLineChars="200"/>
        <w:rPr>
          <w:rFonts w:ascii="仿宋_GB2312" w:hAnsi="仿宋_GB2312" w:eastAsia="仿宋_GB2312" w:cs="仿宋_GB2312"/>
          <w:bCs/>
          <w:kern w:val="0"/>
          <w:sz w:val="32"/>
          <w:szCs w:val="32"/>
        </w:rPr>
      </w:pPr>
      <w:r>
        <w:rPr>
          <w:rFonts w:hint="eastAsia" w:ascii="黑体" w:hAnsi="黑体" w:eastAsia="黑体" w:cs="黑体"/>
          <w:kern w:val="0"/>
          <w:sz w:val="32"/>
          <w:szCs w:val="32"/>
        </w:rPr>
        <w:t>第六十三条</w:t>
      </w:r>
      <w:r>
        <w:rPr>
          <w:rFonts w:hint="eastAsia" w:ascii="Times New Roman" w:hAnsi="Times New Roman" w:eastAsia="仿宋_GB2312"/>
          <w:kern w:val="0"/>
          <w:sz w:val="32"/>
          <w:szCs w:val="32"/>
        </w:rPr>
        <w:t xml:space="preserve"> </w:t>
      </w:r>
      <w:r>
        <w:rPr>
          <w:rFonts w:hint="eastAsia" w:ascii="仿宋_GB2312" w:hAnsi="仿宋_GB2312" w:eastAsia="仿宋_GB2312" w:cs="仿宋_GB2312"/>
          <w:bCs/>
          <w:kern w:val="0"/>
          <w:sz w:val="32"/>
          <w:szCs w:val="32"/>
        </w:rPr>
        <w:t>企业应根据所申报乳制品生产许可的产品种类，按照表6《试制产品检验及要求》中的“品种明细”及要求进行试制产品检验。检验项目按产品适用的食品安全国家标准及相关管理公告的内容进行检验。脱脂牛(羊)初乳粉、地方特色乳制品等没有食品安全国家标准、食品安全地方标准的，可按照行业标准或者企业标准执行。</w:t>
      </w:r>
    </w:p>
    <w:p>
      <w:pPr>
        <w:tabs>
          <w:tab w:val="left" w:pos="0"/>
        </w:tabs>
        <w:adjustRightInd w:val="0"/>
        <w:snapToGrid w:val="0"/>
        <w:spacing w:before="240" w:after="240" w:line="560" w:lineRule="exact"/>
        <w:ind w:firstLine="640" w:firstLineChars="200"/>
        <w:jc w:val="center"/>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表6 试制产品检</w:t>
      </w:r>
      <w:r>
        <w:rPr>
          <w:rFonts w:hint="eastAsia" w:ascii="Times New Roman" w:hAnsi="Times New Roman" w:eastAsia="仿宋_GB2312"/>
          <w:kern w:val="0"/>
          <w:sz w:val="32"/>
          <w:szCs w:val="32"/>
        </w:rPr>
        <w:t>验及要求</w:t>
      </w:r>
    </w:p>
    <w:tbl>
      <w:tblPr>
        <w:tblStyle w:val="2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62"/>
        <w:gridCol w:w="634"/>
        <w:gridCol w:w="1438"/>
        <w:gridCol w:w="2531"/>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838" w:type="dxa"/>
            <w:vAlign w:val="center"/>
          </w:tcPr>
          <w:p>
            <w:pPr>
              <w:adjustRightInd w:val="0"/>
              <w:snapToGrid w:val="0"/>
              <w:spacing w:beforeLines="7" w:afterLines="7" w:line="240" w:lineRule="auto"/>
              <w:jc w:val="center"/>
              <w:rPr>
                <w:rFonts w:ascii="黑体" w:hAnsi="黑体" w:eastAsia="黑体"/>
                <w:szCs w:val="21"/>
              </w:rPr>
            </w:pPr>
            <w:r>
              <w:rPr>
                <w:rFonts w:hint="eastAsia" w:ascii="黑体" w:hAnsi="黑体" w:eastAsia="黑体"/>
                <w:szCs w:val="21"/>
              </w:rPr>
              <w:t>类别编号</w:t>
            </w:r>
          </w:p>
        </w:tc>
        <w:tc>
          <w:tcPr>
            <w:tcW w:w="862" w:type="dxa"/>
            <w:vAlign w:val="center"/>
          </w:tcPr>
          <w:p>
            <w:pPr>
              <w:adjustRightInd w:val="0"/>
              <w:snapToGrid w:val="0"/>
              <w:spacing w:beforeLines="7" w:afterLines="7" w:line="240" w:lineRule="auto"/>
              <w:jc w:val="center"/>
              <w:rPr>
                <w:rFonts w:ascii="黑体" w:hAnsi="黑体" w:eastAsia="黑体"/>
                <w:szCs w:val="21"/>
              </w:rPr>
            </w:pPr>
            <w:r>
              <w:rPr>
                <w:rFonts w:hint="eastAsia" w:ascii="黑体" w:hAnsi="黑体" w:eastAsia="黑体"/>
                <w:szCs w:val="21"/>
              </w:rPr>
              <w:t>类别</w:t>
            </w:r>
          </w:p>
          <w:p>
            <w:pPr>
              <w:adjustRightInd w:val="0"/>
              <w:snapToGrid w:val="0"/>
              <w:spacing w:beforeLines="7" w:afterLines="7" w:line="240" w:lineRule="auto"/>
              <w:jc w:val="center"/>
              <w:rPr>
                <w:rFonts w:ascii="黑体" w:hAnsi="黑体" w:eastAsia="黑体" w:cs="Times New Roman"/>
                <w:szCs w:val="21"/>
              </w:rPr>
            </w:pPr>
            <w:r>
              <w:rPr>
                <w:rFonts w:hint="eastAsia" w:ascii="黑体" w:hAnsi="黑体" w:eastAsia="黑体"/>
                <w:szCs w:val="21"/>
              </w:rPr>
              <w:t>名称</w:t>
            </w:r>
          </w:p>
        </w:tc>
        <w:tc>
          <w:tcPr>
            <w:tcW w:w="634" w:type="dxa"/>
            <w:vAlign w:val="center"/>
          </w:tcPr>
          <w:p>
            <w:pPr>
              <w:adjustRightInd w:val="0"/>
              <w:snapToGrid w:val="0"/>
              <w:spacing w:beforeLines="7" w:afterLines="7" w:line="240" w:lineRule="auto"/>
              <w:jc w:val="center"/>
              <w:rPr>
                <w:rFonts w:ascii="黑体" w:hAnsi="黑体" w:eastAsia="黑体" w:cs="Times New Roman"/>
                <w:szCs w:val="21"/>
              </w:rPr>
            </w:pPr>
            <w:r>
              <w:rPr>
                <w:rFonts w:hint="eastAsia" w:ascii="黑体" w:hAnsi="黑体" w:eastAsia="黑体"/>
                <w:szCs w:val="21"/>
              </w:rPr>
              <w:t>序号</w:t>
            </w:r>
          </w:p>
        </w:tc>
        <w:tc>
          <w:tcPr>
            <w:tcW w:w="1438" w:type="dxa"/>
            <w:vAlign w:val="center"/>
          </w:tcPr>
          <w:p>
            <w:pPr>
              <w:adjustRightInd w:val="0"/>
              <w:snapToGrid w:val="0"/>
              <w:spacing w:beforeLines="7" w:afterLines="7" w:line="240" w:lineRule="auto"/>
              <w:jc w:val="center"/>
              <w:rPr>
                <w:rFonts w:ascii="黑体" w:hAnsi="黑体" w:eastAsia="黑体" w:cs="Times New Roman"/>
                <w:szCs w:val="21"/>
              </w:rPr>
            </w:pPr>
            <w:r>
              <w:rPr>
                <w:rFonts w:hint="eastAsia" w:ascii="黑体" w:hAnsi="黑体" w:eastAsia="黑体"/>
                <w:szCs w:val="21"/>
              </w:rPr>
              <w:t>品种明细</w:t>
            </w:r>
          </w:p>
        </w:tc>
        <w:tc>
          <w:tcPr>
            <w:tcW w:w="2531" w:type="dxa"/>
            <w:vAlign w:val="center"/>
          </w:tcPr>
          <w:p>
            <w:pPr>
              <w:adjustRightInd w:val="0"/>
              <w:snapToGrid w:val="0"/>
              <w:spacing w:beforeLines="7" w:afterLines="7" w:line="240" w:lineRule="auto"/>
              <w:jc w:val="center"/>
              <w:rPr>
                <w:rFonts w:ascii="黑体" w:hAnsi="黑体" w:eastAsia="黑体" w:cs="Times New Roman"/>
                <w:szCs w:val="21"/>
              </w:rPr>
            </w:pPr>
            <w:r>
              <w:rPr>
                <w:rFonts w:hint="eastAsia" w:ascii="黑体" w:hAnsi="黑体" w:eastAsia="黑体"/>
                <w:szCs w:val="21"/>
              </w:rPr>
              <w:t>执行标准</w:t>
            </w:r>
          </w:p>
        </w:tc>
        <w:tc>
          <w:tcPr>
            <w:tcW w:w="3086" w:type="dxa"/>
            <w:vAlign w:val="center"/>
          </w:tcPr>
          <w:p>
            <w:pPr>
              <w:adjustRightInd w:val="0"/>
              <w:snapToGrid w:val="0"/>
              <w:spacing w:beforeLines="7" w:afterLines="7" w:line="240" w:lineRule="auto"/>
              <w:jc w:val="center"/>
              <w:rPr>
                <w:rFonts w:ascii="黑体" w:hAnsi="黑体" w:eastAsia="黑体" w:cs="Times New Roman"/>
                <w:szCs w:val="21"/>
              </w:rPr>
            </w:pPr>
            <w:r>
              <w:rPr>
                <w:rFonts w:hint="eastAsia" w:ascii="黑体" w:hAnsi="黑体" w:eastAsia="黑体"/>
                <w:szCs w:val="21"/>
              </w:rPr>
              <w:t>试制产品检验要求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8" w:type="dxa"/>
            <w:vMerge w:val="restart"/>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0501</w:t>
            </w:r>
          </w:p>
        </w:tc>
        <w:tc>
          <w:tcPr>
            <w:tcW w:w="862" w:type="dxa"/>
            <w:vMerge w:val="restart"/>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液体乳</w:t>
            </w: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巴氏杀菌乳</w:t>
            </w:r>
          </w:p>
        </w:tc>
        <w:tc>
          <w:tcPr>
            <w:tcW w:w="2531"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巴氏杀菌乳》（GB 19645）</w:t>
            </w: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高温杀菌乳</w:t>
            </w:r>
          </w:p>
        </w:tc>
        <w:tc>
          <w:tcPr>
            <w:tcW w:w="2531"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高温杀菌乳》（GB XXXXX）</w:t>
            </w: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调制乳</w:t>
            </w:r>
          </w:p>
        </w:tc>
        <w:tc>
          <w:tcPr>
            <w:tcW w:w="2531"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调制乳》（GB 25191）</w:t>
            </w: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检验项目最多的产品进行试制产品检验，涵盖标准中所有检验项目。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438"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超高温灭菌乳</w:t>
            </w:r>
          </w:p>
        </w:tc>
        <w:tc>
          <w:tcPr>
            <w:tcW w:w="2531"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szCs w:val="21"/>
              </w:rPr>
              <w:t>《食品安全国家标准 灭菌乳》（GB 25190）</w:t>
            </w:r>
          </w:p>
        </w:tc>
        <w:tc>
          <w:tcPr>
            <w:tcW w:w="3086"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438"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保持灭菌乳</w:t>
            </w:r>
          </w:p>
        </w:tc>
        <w:tc>
          <w:tcPr>
            <w:tcW w:w="2531" w:type="dxa"/>
            <w:vMerge w:val="continue"/>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p>
        </w:tc>
        <w:tc>
          <w:tcPr>
            <w:tcW w:w="3086"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438" w:type="dxa"/>
            <w:vAlign w:val="center"/>
          </w:tcPr>
          <w:p>
            <w:pPr>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酸乳</w:t>
            </w:r>
          </w:p>
        </w:tc>
        <w:tc>
          <w:tcPr>
            <w:tcW w:w="2531" w:type="dxa"/>
            <w:vMerge w:val="restart"/>
            <w:vAlign w:val="center"/>
          </w:tcPr>
          <w:p>
            <w:pPr>
              <w:tabs>
                <w:tab w:val="left" w:pos="0"/>
                <w:tab w:val="center" w:pos="4153"/>
                <w:tab w:val="right" w:pos="8306"/>
              </w:tabs>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发酵乳》（GB 19302）</w:t>
            </w: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438" w:type="dxa"/>
            <w:vAlign w:val="center"/>
          </w:tcPr>
          <w:p>
            <w:pPr>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风味酸乳</w:t>
            </w:r>
          </w:p>
        </w:tc>
        <w:tc>
          <w:tcPr>
            <w:tcW w:w="2531" w:type="dxa"/>
            <w:vMerge w:val="continue"/>
            <w:vAlign w:val="center"/>
          </w:tcPr>
          <w:p>
            <w:pPr>
              <w:tabs>
                <w:tab w:val="left" w:pos="0"/>
                <w:tab w:val="center" w:pos="4153"/>
                <w:tab w:val="right" w:pos="8306"/>
              </w:tabs>
              <w:adjustRightInd w:val="0"/>
              <w:snapToGrid w:val="0"/>
              <w:spacing w:line="240" w:lineRule="auto"/>
              <w:jc w:val="center"/>
              <w:rPr>
                <w:rFonts w:ascii="仿宋_GB2312" w:hAnsi="仿宋_GB2312" w:eastAsia="仿宋_GB2312" w:cs="仿宋_GB2312"/>
                <w:kern w:val="0"/>
                <w:szCs w:val="21"/>
              </w:rPr>
            </w:pP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检验项目最多的产品进行试制产品检验，并涵盖标准中所有检验项目。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438" w:type="dxa"/>
            <w:vAlign w:val="center"/>
          </w:tcPr>
          <w:p>
            <w:pPr>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发酵乳</w:t>
            </w:r>
          </w:p>
        </w:tc>
        <w:tc>
          <w:tcPr>
            <w:tcW w:w="2531" w:type="dxa"/>
            <w:vMerge w:val="continue"/>
            <w:vAlign w:val="center"/>
          </w:tcPr>
          <w:p>
            <w:pPr>
              <w:tabs>
                <w:tab w:val="left" w:pos="0"/>
                <w:tab w:val="center" w:pos="4153"/>
                <w:tab w:val="right" w:pos="8306"/>
              </w:tabs>
              <w:adjustRightInd w:val="0"/>
              <w:snapToGrid w:val="0"/>
              <w:spacing w:line="240" w:lineRule="auto"/>
              <w:jc w:val="center"/>
              <w:rPr>
                <w:rFonts w:ascii="仿宋_GB2312" w:hAnsi="仿宋_GB2312" w:eastAsia="仿宋_GB2312" w:cs="仿宋_GB2312"/>
                <w:kern w:val="0"/>
                <w:szCs w:val="21"/>
              </w:rPr>
            </w:pP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1438"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风味发酵乳</w:t>
            </w:r>
          </w:p>
        </w:tc>
        <w:tc>
          <w:tcPr>
            <w:tcW w:w="2531" w:type="dxa"/>
            <w:vMerge w:val="continue"/>
            <w:vAlign w:val="center"/>
          </w:tcPr>
          <w:p>
            <w:pPr>
              <w:adjustRightInd w:val="0"/>
              <w:snapToGrid w:val="0"/>
              <w:spacing w:line="240" w:lineRule="auto"/>
              <w:jc w:val="center"/>
              <w:rPr>
                <w:rFonts w:ascii="仿宋_GB2312" w:hAnsi="仿宋_GB2312" w:eastAsia="仿宋_GB2312" w:cs="仿宋_GB2312"/>
                <w:szCs w:val="21"/>
              </w:rPr>
            </w:pP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检验项目最多的产品进行试制产品检验，并涵盖标准中所有检验项目。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38" w:type="dxa"/>
            <w:vMerge w:val="restart"/>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0502</w:t>
            </w:r>
          </w:p>
        </w:tc>
        <w:tc>
          <w:tcPr>
            <w:tcW w:w="862" w:type="dxa"/>
            <w:vMerge w:val="restart"/>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乳粉</w:t>
            </w: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全脂乳粉</w:t>
            </w:r>
          </w:p>
        </w:tc>
        <w:tc>
          <w:tcPr>
            <w:tcW w:w="2531"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r>
              <w:rPr>
                <w:rFonts w:hint="eastAsia" w:ascii="仿宋_GB2312" w:hAnsi="仿宋_GB2312" w:eastAsia="仿宋_GB2312" w:cs="仿宋_GB2312"/>
                <w:szCs w:val="21"/>
              </w:rPr>
              <w:t>《食品安全国家标准 乳粉》（GB 19644）</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脱脂乳粉</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部分脱脂乳粉</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调制乳粉</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检验项目最多的产品进行试制产品检验，并涵盖标准中所有检验项目。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438" w:type="dxa"/>
            <w:vAlign w:val="center"/>
          </w:tcPr>
          <w:p>
            <w:pPr>
              <w:widowControl/>
              <w:adjustRightInd w:val="0"/>
              <w:snapToGri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脱盐乳清粉</w:t>
            </w:r>
          </w:p>
        </w:tc>
        <w:tc>
          <w:tcPr>
            <w:tcW w:w="2531" w:type="dxa"/>
            <w:vMerge w:val="restart"/>
            <w:vAlign w:val="center"/>
          </w:tcPr>
          <w:p>
            <w:pPr>
              <w:adjustRightInd w:val="0"/>
              <w:snapToGrid w:val="0"/>
              <w:spacing w:beforeLines="7" w:afterLines="7"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乳清粉和乳清蛋白粉》（GB 11674）</w:t>
            </w:r>
          </w:p>
        </w:tc>
        <w:tc>
          <w:tcPr>
            <w:tcW w:w="3086" w:type="dxa"/>
            <w:vMerge w:val="restart"/>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438" w:type="dxa"/>
            <w:vAlign w:val="center"/>
          </w:tcPr>
          <w:p>
            <w:pPr>
              <w:pStyle w:val="61"/>
              <w:snapToGrid w:val="0"/>
              <w:jc w:val="center"/>
              <w:rPr>
                <w:rFonts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非脱盐乳清粉</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Merge w:val="continue"/>
            <w:vAlign w:val="center"/>
          </w:tcPr>
          <w:p>
            <w:pPr>
              <w:adjustRightInd w:val="0"/>
              <w:snapToGrid w:val="0"/>
              <w:spacing w:line="24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乳清蛋白粉</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Merge w:val="continue"/>
            <w:vAlign w:val="center"/>
          </w:tcPr>
          <w:p>
            <w:pPr>
              <w:adjustRightInd w:val="0"/>
              <w:snapToGrid w:val="0"/>
              <w:spacing w:line="24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加油乳清粉</w:t>
            </w:r>
          </w:p>
        </w:tc>
        <w:tc>
          <w:tcPr>
            <w:tcW w:w="2531"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企业标准</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涵盖企业标准中所有检验项目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8" w:type="dxa"/>
            <w:vMerge w:val="restart"/>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0503</w:t>
            </w:r>
          </w:p>
        </w:tc>
        <w:tc>
          <w:tcPr>
            <w:tcW w:w="862" w:type="dxa"/>
            <w:vMerge w:val="restart"/>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其他乳制品</w:t>
            </w: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淡炼乳</w:t>
            </w:r>
          </w:p>
        </w:tc>
        <w:tc>
          <w:tcPr>
            <w:tcW w:w="2531"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浓缩乳制品》</w:t>
            </w:r>
          </w:p>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kern w:val="0"/>
                <w:szCs w:val="21"/>
              </w:rPr>
              <w:t>（GB 13102）</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加糖炼乳</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调制炼乳</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检验项目最多的产品进行试制产品检验，并涵盖标准中所有检验项目。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食品工业用浓缩乳</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稀奶油</w:t>
            </w:r>
          </w:p>
        </w:tc>
        <w:tc>
          <w:tcPr>
            <w:tcW w:w="2531"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《食品安全国家标准 稀奶油、奶油和无水奶油》</w:t>
            </w:r>
          </w:p>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（GB 19646）</w:t>
            </w:r>
          </w:p>
        </w:tc>
        <w:tc>
          <w:tcPr>
            <w:tcW w:w="3086" w:type="dxa"/>
            <w:vMerge w:val="restart"/>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奶油</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Merge w:val="continue"/>
            <w:vAlign w:val="center"/>
          </w:tcPr>
          <w:p>
            <w:pPr>
              <w:adjustRightInd w:val="0"/>
              <w:snapToGrid w:val="0"/>
              <w:spacing w:line="24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无水奶油</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Merge w:val="continue"/>
            <w:vAlign w:val="center"/>
          </w:tcPr>
          <w:p>
            <w:pPr>
              <w:adjustRightInd w:val="0"/>
              <w:snapToGrid w:val="0"/>
              <w:spacing w:line="24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438"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成熟干酪</w:t>
            </w:r>
          </w:p>
        </w:tc>
        <w:tc>
          <w:tcPr>
            <w:tcW w:w="2531" w:type="dxa"/>
            <w:vMerge w:val="restart"/>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干酪》（GB 5420）</w:t>
            </w:r>
          </w:p>
        </w:tc>
        <w:tc>
          <w:tcPr>
            <w:tcW w:w="3086" w:type="dxa"/>
            <w:vMerge w:val="restart"/>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1438"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未成熟干酪</w:t>
            </w:r>
          </w:p>
        </w:tc>
        <w:tc>
          <w:tcPr>
            <w:tcW w:w="2531"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3086" w:type="dxa"/>
            <w:vMerge w:val="continue"/>
            <w:vAlign w:val="center"/>
          </w:tcPr>
          <w:p>
            <w:pPr>
              <w:adjustRightInd w:val="0"/>
              <w:snapToGrid w:val="0"/>
              <w:spacing w:line="240" w:lineRule="auto"/>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438"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r>
              <w:rPr>
                <w:rFonts w:hint="eastAsia" w:ascii="仿宋_GB2312" w:hAnsi="仿宋_GB2312" w:eastAsia="仿宋_GB2312" w:cs="仿宋_GB2312"/>
                <w:szCs w:val="21"/>
              </w:rPr>
              <w:t>再制干酪</w:t>
            </w:r>
          </w:p>
        </w:tc>
        <w:tc>
          <w:tcPr>
            <w:tcW w:w="2531"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再制干酪》（GB 25192）</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地方特色乳制品</w:t>
            </w:r>
          </w:p>
        </w:tc>
        <w:tc>
          <w:tcPr>
            <w:tcW w:w="2531"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食品安全地方标准或企业标准</w:t>
            </w: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涵盖所有产品及其标准中的所有检验项目。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脱脂牛(羊)初乳粉</w:t>
            </w:r>
          </w:p>
        </w:tc>
        <w:tc>
          <w:tcPr>
            <w:tcW w:w="2531"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企业标准</w:t>
            </w:r>
          </w:p>
        </w:tc>
        <w:tc>
          <w:tcPr>
            <w:tcW w:w="3086"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涵盖企业标准中所有检验项目。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脱脂牛(羊)初乳</w:t>
            </w:r>
          </w:p>
        </w:tc>
        <w:tc>
          <w:tcPr>
            <w:tcW w:w="2531"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企业标准</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乳糖</w:t>
            </w:r>
          </w:p>
        </w:tc>
        <w:tc>
          <w:tcPr>
            <w:tcW w:w="2531"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乳糖》（GB 25595）</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38"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862" w:type="dxa"/>
            <w:vMerge w:val="continue"/>
            <w:vAlign w:val="center"/>
          </w:tcPr>
          <w:p>
            <w:pPr>
              <w:adjustRightInd w:val="0"/>
              <w:snapToGrid w:val="0"/>
              <w:spacing w:beforeLines="7" w:afterLines="7" w:line="240" w:lineRule="auto"/>
              <w:jc w:val="center"/>
              <w:rPr>
                <w:rFonts w:ascii="仿宋_GB2312" w:hAnsi="仿宋_GB2312" w:eastAsia="仿宋_GB2312" w:cs="仿宋_GB2312"/>
                <w:szCs w:val="21"/>
              </w:rPr>
            </w:pPr>
          </w:p>
        </w:tc>
        <w:tc>
          <w:tcPr>
            <w:tcW w:w="634"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1438" w:type="dxa"/>
            <w:vAlign w:val="center"/>
          </w:tcPr>
          <w:p>
            <w:pPr>
              <w:adjustRightInd w:val="0"/>
              <w:snapToGrid w:val="0"/>
              <w:spacing w:beforeLines="7" w:afterLines="7"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酪蛋白</w:t>
            </w:r>
          </w:p>
        </w:tc>
        <w:tc>
          <w:tcPr>
            <w:tcW w:w="2531" w:type="dxa"/>
            <w:vAlign w:val="center"/>
          </w:tcPr>
          <w:p>
            <w:pPr>
              <w:tabs>
                <w:tab w:val="left" w:pos="0"/>
                <w:tab w:val="center" w:pos="4153"/>
                <w:tab w:val="right" w:pos="8306"/>
              </w:tabs>
              <w:adjustRightInd w:val="0"/>
              <w:snapToGrid w:val="0"/>
              <w:spacing w:line="240" w:lineRule="auto"/>
              <w:ind w:right="73"/>
              <w:jc w:val="center"/>
              <w:rPr>
                <w:rFonts w:ascii="仿宋_GB2312" w:hAnsi="仿宋_GB2312" w:eastAsia="仿宋_GB2312" w:cs="仿宋_GB2312"/>
                <w:szCs w:val="21"/>
              </w:rPr>
            </w:pPr>
            <w:r>
              <w:rPr>
                <w:rFonts w:hint="eastAsia" w:ascii="仿宋_GB2312" w:hAnsi="仿宋_GB2312" w:eastAsia="仿宋_GB2312" w:cs="仿宋_GB2312"/>
                <w:kern w:val="0"/>
                <w:szCs w:val="21"/>
              </w:rPr>
              <w:t>《食品安全国家标准 酪蛋白》（GB 31638）</w:t>
            </w:r>
          </w:p>
        </w:tc>
        <w:tc>
          <w:tcPr>
            <w:tcW w:w="3086" w:type="dxa"/>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涵盖标准中所有检验项目。</w:t>
            </w:r>
          </w:p>
        </w:tc>
      </w:tr>
    </w:tbl>
    <w:p>
      <w:pPr>
        <w:adjustRightInd w:val="0"/>
        <w:snapToGrid w:val="0"/>
        <w:spacing w:line="560" w:lineRule="exact"/>
        <w:ind w:firstLine="420" w:firstLineChars="200"/>
        <w:rPr>
          <w:rFonts w:ascii="Times New Roman" w:hAnsi="Times New Roman" w:eastAsia="仿宋_GB2312"/>
          <w:b/>
          <w:kern w:val="0"/>
          <w:sz w:val="32"/>
          <w:szCs w:val="32"/>
        </w:rPr>
      </w:pPr>
      <w:r>
        <w:rPr>
          <w:rFonts w:hint="eastAsia"/>
        </w:rPr>
        <w:t xml:space="preserve">  </w:t>
      </w:r>
    </w:p>
    <w:p>
      <w:pPr>
        <w:pStyle w:val="3"/>
        <w:adjustRightInd w:val="0"/>
        <w:snapToGrid w:val="0"/>
        <w:spacing w:line="560" w:lineRule="exact"/>
        <w:rPr>
          <w:rFonts w:ascii="黑体" w:hAnsi="黑体" w:eastAsia="黑体" w:cs="黑体"/>
          <w:sz w:val="32"/>
          <w:szCs w:val="32"/>
        </w:rPr>
      </w:pPr>
      <w:bookmarkStart w:id="8" w:name="_Toc493510006"/>
      <w:r>
        <w:rPr>
          <w:rFonts w:hint="eastAsia" w:ascii="黑体" w:hAnsi="黑体" w:eastAsia="黑体" w:cs="黑体"/>
          <w:sz w:val="32"/>
          <w:szCs w:val="32"/>
        </w:rPr>
        <w:t xml:space="preserve">第八章  附  </w:t>
      </w:r>
      <w:bookmarkEnd w:id="8"/>
      <w:r>
        <w:rPr>
          <w:rFonts w:hint="eastAsia" w:ascii="黑体" w:hAnsi="黑体" w:eastAsia="黑体" w:cs="黑体"/>
          <w:sz w:val="32"/>
          <w:szCs w:val="32"/>
        </w:rPr>
        <w:t>则</w:t>
      </w:r>
    </w:p>
    <w:p>
      <w:pPr>
        <w:spacing w:line="560" w:lineRule="exact"/>
        <w:rPr>
          <w:rFonts w:ascii="仿宋_GB2312" w:hAnsi="仿宋_GB2312" w:eastAsia="仿宋_GB2312" w:cs="仿宋_GB2312"/>
          <w:bCs/>
          <w:kern w:val="0"/>
          <w:sz w:val="32"/>
          <w:szCs w:val="32"/>
        </w:rPr>
      </w:pPr>
      <w:r>
        <w:rPr>
          <w:rFonts w:hint="eastAsia" w:ascii="华文中宋" w:hAnsi="华文中宋" w:eastAsia="华文中宋" w:cs="Times New Roman"/>
          <w:kern w:val="0"/>
          <w:sz w:val="32"/>
          <w:szCs w:val="32"/>
        </w:rPr>
        <w:t xml:space="preserve">    </w:t>
      </w:r>
      <w:r>
        <w:rPr>
          <w:rFonts w:hint="eastAsia" w:ascii="黑体" w:hAnsi="黑体" w:eastAsia="黑体" w:cs="黑体"/>
          <w:kern w:val="0"/>
          <w:sz w:val="32"/>
          <w:szCs w:val="32"/>
        </w:rPr>
        <w:t xml:space="preserve"> 第六十四条 </w:t>
      </w:r>
      <w:r>
        <w:rPr>
          <w:rFonts w:hint="eastAsia" w:ascii="仿宋_GB2312" w:hAnsi="仿宋_GB2312" w:eastAsia="仿宋_GB2312" w:cs="仿宋_GB2312"/>
          <w:bCs/>
          <w:kern w:val="0"/>
          <w:sz w:val="32"/>
          <w:szCs w:val="32"/>
        </w:rPr>
        <w:t>本细则由国家市场监督管理总局负责解释。</w:t>
      </w:r>
    </w:p>
    <w:p>
      <w:pPr>
        <w:adjustRightInd w:val="0"/>
        <w:snapToGrid w:val="0"/>
        <w:spacing w:line="560" w:lineRule="exact"/>
        <w:rPr>
          <w:rFonts w:ascii="Times New Roman" w:hAnsi="Times New Roman" w:eastAsia="仿宋_GB2312"/>
          <w:b/>
          <w:kern w:val="0"/>
          <w:sz w:val="32"/>
          <w:szCs w:val="32"/>
        </w:rPr>
      </w:pPr>
      <w:r>
        <w:rPr>
          <w:rFonts w:hint="eastAsia" w:ascii="仿宋_GB2312" w:hAnsi="仿宋_GB2312" w:eastAsia="仿宋_GB2312" w:cs="仿宋_GB2312"/>
          <w:bCs/>
          <w:kern w:val="0"/>
          <w:sz w:val="32"/>
          <w:szCs w:val="32"/>
        </w:rPr>
        <w:t xml:space="preserve">    </w:t>
      </w:r>
      <w:r>
        <w:rPr>
          <w:rFonts w:hint="eastAsia" w:ascii="黑体" w:hAnsi="黑体" w:eastAsia="黑体" w:cs="黑体"/>
          <w:bCs/>
          <w:kern w:val="0"/>
          <w:sz w:val="32"/>
          <w:szCs w:val="32"/>
        </w:rPr>
        <w:t xml:space="preserve"> 第六十五条</w:t>
      </w:r>
      <w:r>
        <w:rPr>
          <w:rFonts w:hint="eastAsia" w:ascii="仿宋_GB2312" w:hAnsi="仿宋_GB2312" w:eastAsia="仿宋_GB2312" w:cs="仿宋_GB2312"/>
          <w:bCs/>
          <w:kern w:val="0"/>
          <w:sz w:val="32"/>
          <w:szCs w:val="32"/>
        </w:rPr>
        <w:t xml:space="preserve"> 本细则自</w:t>
      </w:r>
      <w:r>
        <w:rPr>
          <w:rFonts w:hint="eastAsia" w:ascii="仿宋_GB2312" w:hAnsi="仿宋_GB2312" w:eastAsia="仿宋_GB2312" w:cs="仿宋_GB2312"/>
          <w:bCs/>
          <w:sz w:val="32"/>
          <w:szCs w:val="32"/>
        </w:rPr>
        <w:t>发布之</w:t>
      </w:r>
      <w:r>
        <w:rPr>
          <w:rFonts w:hint="eastAsia" w:ascii="仿宋_GB2312" w:hAnsi="仿宋_GB2312" w:eastAsia="仿宋_GB2312" w:cs="仿宋_GB2312"/>
          <w:bCs/>
          <w:kern w:val="0"/>
          <w:sz w:val="32"/>
          <w:szCs w:val="32"/>
        </w:rPr>
        <w:t>日起施行，原企业生产乳制品许可条件审查细则（2010版）同时废止。</w:t>
      </w:r>
    </w:p>
    <w:p>
      <w:pPr>
        <w:adjustRightInd w:val="0"/>
        <w:snapToGrid w:val="0"/>
        <w:spacing w:line="560" w:lineRule="exact"/>
        <w:ind w:firstLine="640" w:firstLineChars="200"/>
        <w:rPr>
          <w:rFonts w:ascii="仿宋_GB2312" w:hAnsi="黑体" w:eastAsia="仿宋_GB2312"/>
          <w:bCs/>
          <w:sz w:val="32"/>
          <w:szCs w:val="32"/>
        </w:rPr>
      </w:pP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pacing w:val="-20"/>
          <w:sz w:val="32"/>
          <w:szCs w:val="32"/>
        </w:rPr>
        <w:t>：</w:t>
      </w:r>
      <w:r>
        <w:rPr>
          <w:rFonts w:hint="eastAsia" w:ascii="仿宋_GB2312" w:hAnsi="仿宋_GB2312" w:eastAsia="仿宋_GB2312" w:cs="仿宋_GB2312"/>
          <w:bCs/>
          <w:sz w:val="32"/>
          <w:szCs w:val="32"/>
        </w:rPr>
        <w:t>1.乳制品生产企业追溯信息记录清单</w:t>
      </w:r>
    </w:p>
    <w:p>
      <w:pPr>
        <w:adjustRightInd w:val="0"/>
        <w:snapToGrid w:val="0"/>
        <w:spacing w:line="560" w:lineRule="exact"/>
        <w:ind w:firstLine="1540" w:firstLineChars="500"/>
        <w:rPr>
          <w:rFonts w:ascii="Times New Roman" w:hAnsi="Times New Roman" w:eastAsia="仿宋_GB2312"/>
          <w:sz w:val="32"/>
          <w:szCs w:val="32"/>
        </w:rPr>
      </w:pPr>
      <w:r>
        <w:rPr>
          <w:rFonts w:hint="eastAsia" w:ascii="仿宋_GB2312" w:hAnsi="仿宋_GB2312" w:eastAsia="仿宋_GB2312" w:cs="仿宋_GB2312"/>
          <w:bCs/>
          <w:spacing w:val="-6"/>
          <w:sz w:val="32"/>
          <w:szCs w:val="32"/>
        </w:rPr>
        <w:t>2.乳制品生产检验项目表</w:t>
      </w:r>
    </w:p>
    <w:p>
      <w:pPr>
        <w:adjustRightInd w:val="0"/>
        <w:snapToGrid w:val="0"/>
        <w:spacing w:line="560" w:lineRule="exact"/>
        <w:rPr>
          <w:rFonts w:ascii="Times New Roman" w:hAnsi="Times New Roman" w:eastAsia="仿宋_GB2312"/>
          <w:sz w:val="28"/>
          <w:szCs w:val="28"/>
        </w:rPr>
      </w:pPr>
      <w:r>
        <w:rPr>
          <w:rFonts w:ascii="Times New Roman" w:hAnsi="Times New Roman" w:eastAsia="仿宋_GB2312"/>
          <w:sz w:val="28"/>
          <w:szCs w:val="28"/>
        </w:rPr>
        <w:br w:type="page"/>
      </w:r>
    </w:p>
    <w:p>
      <w:pPr>
        <w:adjustRightInd w:val="0"/>
        <w:snapToGrid w:val="0"/>
        <w:spacing w:after="240"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beforeLines="50" w:afterLines="50" w:line="560" w:lineRule="exact"/>
        <w:jc w:val="center"/>
        <w:outlineLvl w:val="0"/>
        <w:rPr>
          <w:rFonts w:ascii="黑体" w:hAnsi="黑体" w:eastAsia="黑体"/>
          <w:sz w:val="36"/>
          <w:szCs w:val="36"/>
        </w:rPr>
      </w:pPr>
      <w:bookmarkStart w:id="9" w:name="_Toc427657329"/>
      <w:bookmarkStart w:id="10" w:name="_Toc20577"/>
      <w:r>
        <w:rPr>
          <w:rFonts w:hint="eastAsia" w:ascii="黑体" w:hAnsi="黑体" w:eastAsia="黑体"/>
          <w:sz w:val="36"/>
          <w:szCs w:val="36"/>
        </w:rPr>
        <w:t>乳制品生产企业追溯信息记录清单</w:t>
      </w:r>
    </w:p>
    <w:tbl>
      <w:tblPr>
        <w:tblStyle w:val="2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02"/>
        <w:gridCol w:w="1709"/>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694" w:type="dxa"/>
            <w:vAlign w:val="center"/>
          </w:tcPr>
          <w:p>
            <w:pPr>
              <w:spacing w:line="240" w:lineRule="auto"/>
              <w:jc w:val="center"/>
              <w:rPr>
                <w:rFonts w:ascii="黑体" w:hAnsi="黑体" w:eastAsia="黑体" w:cs="黑体"/>
                <w:bCs/>
                <w:szCs w:val="21"/>
              </w:rPr>
            </w:pPr>
            <w:r>
              <w:rPr>
                <w:rFonts w:hint="eastAsia" w:ascii="黑体" w:hAnsi="黑体" w:eastAsia="黑体" w:cs="黑体"/>
                <w:bCs/>
                <w:szCs w:val="21"/>
              </w:rPr>
              <w:t>序号</w:t>
            </w:r>
          </w:p>
        </w:tc>
        <w:tc>
          <w:tcPr>
            <w:tcW w:w="1102" w:type="dxa"/>
            <w:vAlign w:val="center"/>
          </w:tcPr>
          <w:p>
            <w:pPr>
              <w:spacing w:line="240" w:lineRule="auto"/>
              <w:jc w:val="center"/>
              <w:rPr>
                <w:rFonts w:ascii="黑体" w:hAnsi="黑体" w:eastAsia="黑体" w:cs="黑体"/>
                <w:bCs/>
                <w:szCs w:val="21"/>
              </w:rPr>
            </w:pPr>
          </w:p>
        </w:tc>
        <w:tc>
          <w:tcPr>
            <w:tcW w:w="1709" w:type="dxa"/>
            <w:vAlign w:val="center"/>
          </w:tcPr>
          <w:p>
            <w:pPr>
              <w:spacing w:line="240" w:lineRule="auto"/>
              <w:jc w:val="center"/>
              <w:rPr>
                <w:rFonts w:ascii="黑体" w:hAnsi="黑体" w:eastAsia="黑体" w:cs="黑体"/>
                <w:bCs/>
                <w:szCs w:val="21"/>
              </w:rPr>
            </w:pPr>
            <w:r>
              <w:rPr>
                <w:rFonts w:hint="eastAsia" w:ascii="黑体" w:hAnsi="黑体" w:eastAsia="黑体" w:cs="黑体"/>
                <w:bCs/>
                <w:szCs w:val="21"/>
              </w:rPr>
              <w:t>记录名称</w:t>
            </w:r>
          </w:p>
        </w:tc>
        <w:tc>
          <w:tcPr>
            <w:tcW w:w="6094" w:type="dxa"/>
            <w:vAlign w:val="center"/>
          </w:tcPr>
          <w:p>
            <w:pPr>
              <w:spacing w:line="240" w:lineRule="auto"/>
              <w:jc w:val="center"/>
              <w:rPr>
                <w:rFonts w:ascii="黑体" w:hAnsi="黑体" w:eastAsia="黑体" w:cs="黑体"/>
                <w:bCs/>
                <w:szCs w:val="21"/>
              </w:rPr>
            </w:pPr>
            <w:r>
              <w:rPr>
                <w:rFonts w:hint="eastAsia" w:ascii="黑体" w:hAnsi="黑体" w:eastAsia="黑体" w:cs="黑体"/>
                <w:bCs/>
                <w:szCs w:val="21"/>
              </w:rPr>
              <w:t>记录应包括但不限于以下内容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restart"/>
            <w:vAlign w:val="center"/>
          </w:tcPr>
          <w:p>
            <w:pPr>
              <w:widowControl/>
              <w:numPr>
                <w:ilvl w:val="0"/>
                <w:numId w:val="2"/>
              </w:numPr>
              <w:tabs>
                <w:tab w:val="left" w:pos="425"/>
              </w:tabs>
              <w:spacing w:line="240" w:lineRule="auto"/>
              <w:jc w:val="center"/>
              <w:rPr>
                <w:rFonts w:ascii="仿宋_GB2312" w:hAnsi="仿宋_GB2312" w:eastAsia="仿宋_GB2312" w:cs="仿宋_GB2312"/>
                <w:szCs w:val="21"/>
              </w:rPr>
            </w:pPr>
          </w:p>
        </w:tc>
        <w:tc>
          <w:tcPr>
            <w:tcW w:w="1102"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原辅料信息记录</w:t>
            </w: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生乳验收信息记录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color w:val="333333"/>
                <w:szCs w:val="21"/>
              </w:rPr>
              <w:t>来源牧场或奶站名称、规模、质量协议、牧场或奶站资质审核记录、质检批次、数量、铅封信息、运输车辆信息、温度监控结果、接收时间、企业检验报告、检验人、留样记录等。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原辅材料（包括添加剂、包装材料）验收信息记录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kern w:val="0"/>
                <w:szCs w:val="21"/>
              </w:rPr>
              <w:t>原辅材料名称、规格、数量、生产日期（生产批号）、保质期、供货者信息（包括名称、地址、负责人姓名、联系方式）、产地、合同号（订单号）、采购负责人、供货者资质审核记录、索证索票、进货日期、验收记录、验收要求、检验结果（报告）、检验时间、检验人、复核人、入库时间、入库人员、仓库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原辅料贮存信息记录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原辅料贮存信息记录：包括原辅材料台帐、仓库温湿度记录、需冷藏冷冻或其他特殊条件贮存的原辅材料贮存设备温湿度记录、留样记录、出库时间、发放人、数量等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94" w:type="dxa"/>
            <w:vMerge w:val="restart"/>
            <w:vAlign w:val="center"/>
          </w:tcPr>
          <w:p>
            <w:pPr>
              <w:widowControl/>
              <w:tabs>
                <w:tab w:val="left" w:pos="425"/>
              </w:tabs>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02"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生产管理信息记录</w:t>
            </w: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生产计划信息记录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包括产品名称、生产日期（生产批号）、生产数量、依据的标准、生产开始时间、生产结束时间、生产工序操作人、复核人、使用原辅材料的名称、规格、数量、生产日期（生产批号）、生产厂家等。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领料信息记录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包括原辅材料名称、规格、数量、生产日期（生产批号）、生产厂家、储奶罐号、领取时间、领取人等。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投料信息记录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包括原辅材料名称、规格、数量、生产日期（生产批号）、生产厂家、储奶罐号、投料时间、投料人员、进暂存罐号、内部批号等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返库信息记录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包括退回的原辅材料名称、规格、数量、生产日期（生产批号）、生产厂家、退回库（罐）号、退回时间、退回人员、接收人员等。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生产过程信息记录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包括设备清洗消毒和工艺参数记录、杀菌温度和时间记录、制冷设备温度和时间记录、CIP 清洗记录、发酵温度等。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产品包装信息记录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包括产品名称、规格、数量、包装日期（生产批号）、内部批号、包装设备、操作人、复核人、金属异物检测记录、密封性测试记录、外观检查记录、标签标识等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生产条件信息记录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包括环境场所清洁（消毒）记录、生产和包装车间环境监测记录（包括温度、湿度、压差及微生物检测）、清场记录等。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生产过程检验信息记录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包括半成品的检验批号、检验时间、检验方法、检验结果、检验人、生产过程检测记录等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生产验证信息记录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包括物料平衡记录、特殊问题或异常事件记录等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停产复产记录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停工时间、停工范围、停工原因、生产前采取的措施、复产时间、复产产品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restart"/>
            <w:vAlign w:val="center"/>
          </w:tcPr>
          <w:p>
            <w:pPr>
              <w:widowControl/>
              <w:tabs>
                <w:tab w:val="left" w:pos="425"/>
              </w:tabs>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02"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产品管理信息</w:t>
            </w: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产品生产信息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包括产品名称、生产日期（生产批号）、保质期、生产班次、生产数量（包括取样、留样、入库、不合格品数量）、分装机编号、操作人、审核人等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成品检验信息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包括产品名称、规格、生产日期（生产批号）、检验时间、执行标准、检验方法、检验原始记录、检验报告、检验报告编号、检验人、检验报告批准人、检验设备、检测机构、采样地点、样品处置情况等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产品留样信息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包括产品名称、规格、生产日期（生产批号）、留样数量、留样样品完整情况检查记录、留样贮存条件检查记录等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产品放行信息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包括产品名称、规格、生产日期（生产批号）、生产数量、检验情况、放行人等。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产品贮存信息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生产日期（生产批号）、保质期、入库时间、入库数量、交接记录、出库时间、出库数量、仓库管理人员、发往单位、接收人、仓库温湿度记录、贮存巴氏杀菌乳、需要冷藏的调制乳、发酵乳等产品的设备温湿度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产品销售信息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数量、生产日期（生产批号）、保质期、检验合格证号、出厂检验报告编号、销售日期（发货日期）、发货地点、购货者信息（包括名称、地址、负责人姓名、联系方式）、销售合同号（订单号）、发货人、销售区域、一级经销商或者销售门店、网络销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产品退货处置信息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产品名称、规格、数量、生产日期（生产批号）、保质期、来源、处置情况等。⑧不合格产品召回信息：包括发生召回的产品名称、规格、数量、生产日期（生产批号）、商标、召回区域和地点、发生召回原因、召回等级、召回实施情况、召回公布情况、处置情况、召回效果、召回工作责任人、后续整改方案、控制风险和危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不合格产品召回信息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发生召回的产品名称、规格、数量、生产日期（生产批号）、商标、召回区域和地点、发生召回原因、召回等级、召回实施情况、召回公布情况、处置情况、召回效果、召回工作责任人、后续整改方案、控制风险和危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产品销毁信息</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包括召回产品进行无害化处理、销毁的时间、地点、人员、处理方式等，食品安全监督管理部门实施现场监督的，应记录相关监管人员基本信息；生产企业可依法采取补救措施、继续销售的，应当记录采取补救措施的时间、地点、人员、处理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restart"/>
            <w:vAlign w:val="center"/>
          </w:tcPr>
          <w:p>
            <w:pPr>
              <w:widowControl/>
              <w:tabs>
                <w:tab w:val="left" w:pos="425"/>
              </w:tabs>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02"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人员设备设施、库房管理信息记录</w:t>
            </w: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设备台账</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设备编号、规格型号、生产厂家、购买日期、放置地点、使用年限、设备状态记录、设备清洗消毒记录、关键设备维护保养及检修记录等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环境场所清洁记录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清洁开始时间、结束时间、责任人员、清洁剂名称等。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库房保管及物料领取记录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a：应记录仓储单据编号、食品、食品原料、食品添加剂、食品相关产品等的名称、规格、生产日期或生产批号、保质期、入库时间、出库时间、数量、计量单位、责任人员等;</w:t>
            </w:r>
          </w:p>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b:应记录食品原料、食品添加剂、食品相关产品名称、规格、生产日期或生产批号、领用或使用日期、保质期、生产地点、数量、计量单位、责任人员等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从业人员健康检查记录/</w:t>
            </w:r>
            <w:r>
              <w:rPr>
                <w:rFonts w:hint="eastAsia" w:ascii="仿宋_GB2312" w:hAnsi="仿宋_GB2312" w:eastAsia="仿宋_GB2312" w:cs="仿宋_GB2312"/>
                <w:kern w:val="0"/>
                <w:szCs w:val="21"/>
              </w:rPr>
              <w:t>员工管理记录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应记录各阶段责任员工姓名、联系方式、住址、员工岗位信息、健康信息、健康证编号、班次信息、变更信息等。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人员培训记录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kern w:val="0"/>
                <w:szCs w:val="21"/>
              </w:rPr>
            </w:pPr>
            <w:r>
              <w:rPr>
                <w:rFonts w:hint="eastAsia" w:ascii="仿宋_GB2312" w:hAnsi="仿宋_GB2312" w:eastAsia="仿宋_GB2312" w:cs="仿宋_GB2312"/>
                <w:szCs w:val="21"/>
              </w:rPr>
              <w:t>培训人、培训对象、培训内容、时间、地点、考核。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restart"/>
            <w:vAlign w:val="center"/>
          </w:tcPr>
          <w:p>
            <w:pPr>
              <w:widowControl/>
              <w:tabs>
                <w:tab w:val="left" w:pos="425"/>
              </w:tabs>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02"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风险防控记录</w:t>
            </w: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风险收集记录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风险原因、处置措施。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jc w:val="center"/>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食品安全事故处置记录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风险原因、处置措施。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4" w:type="dxa"/>
            <w:vMerge w:val="continue"/>
            <w:vAlign w:val="center"/>
          </w:tcPr>
          <w:p>
            <w:pPr>
              <w:widowControl/>
              <w:tabs>
                <w:tab w:val="left" w:pos="425"/>
              </w:tabs>
              <w:spacing w:line="240" w:lineRule="auto"/>
              <w:rPr>
                <w:rFonts w:ascii="仿宋_GB2312" w:hAnsi="仿宋_GB2312" w:eastAsia="仿宋_GB2312" w:cs="仿宋_GB2312"/>
                <w:szCs w:val="21"/>
              </w:rPr>
            </w:pPr>
          </w:p>
        </w:tc>
        <w:tc>
          <w:tcPr>
            <w:tcW w:w="1102" w:type="dxa"/>
            <w:vMerge w:val="continue"/>
            <w:vAlign w:val="center"/>
          </w:tcPr>
          <w:p>
            <w:pPr>
              <w:spacing w:line="240" w:lineRule="auto"/>
              <w:jc w:val="center"/>
              <w:rPr>
                <w:rFonts w:ascii="仿宋_GB2312" w:hAnsi="仿宋_GB2312" w:eastAsia="仿宋_GB2312" w:cs="仿宋_GB2312"/>
                <w:szCs w:val="21"/>
              </w:rPr>
            </w:pPr>
          </w:p>
        </w:tc>
        <w:tc>
          <w:tcPr>
            <w:tcW w:w="1709" w:type="dxa"/>
            <w:vAlign w:val="center"/>
          </w:tcPr>
          <w:p>
            <w:pPr>
              <w:autoSpaceDE w:val="0"/>
              <w:autoSpaceDN w:val="0"/>
              <w:adjustRightIn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消费者投诉受理记录</w:t>
            </w:r>
          </w:p>
        </w:tc>
        <w:tc>
          <w:tcPr>
            <w:tcW w:w="6094" w:type="dxa"/>
            <w:vAlign w:val="center"/>
          </w:tcPr>
          <w:p>
            <w:pPr>
              <w:autoSpaceDE w:val="0"/>
              <w:autoSpaceDN w:val="0"/>
              <w:adjustRightIn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napToGrid w:val="0"/>
                <w:color w:val="000000"/>
                <w:kern w:val="0"/>
                <w:szCs w:val="21"/>
              </w:rPr>
              <w:t>应记录投诉购货者姓名和联系方式、购买产品名称、生产日期或生产批号、投诉原因和处理结果等</w:t>
            </w:r>
          </w:p>
        </w:tc>
      </w:tr>
      <w:bookmarkEnd w:id="9"/>
      <w:bookmarkEnd w:id="10"/>
    </w:tbl>
    <w:p>
      <w:pPr>
        <w:adjustRightInd w:val="0"/>
        <w:snapToGrid w:val="0"/>
        <w:spacing w:after="240" w:line="560" w:lineRule="exact"/>
        <w:jc w:val="cente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br w:type="page"/>
      </w:r>
    </w:p>
    <w:p>
      <w:pPr>
        <w:adjustRightInd w:val="0"/>
        <w:snapToGrid w:val="0"/>
        <w:spacing w:line="560" w:lineRule="exact"/>
        <w:rPr>
          <w:rFonts w:ascii="Times New Roman" w:hAnsi="Times New Roman" w:eastAsia="仿宋_GB2312"/>
          <w:sz w:val="24"/>
          <w:szCs w:val="24"/>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b/>
          <w:bCs/>
          <w:sz w:val="32"/>
          <w:szCs w:val="32"/>
        </w:rPr>
        <w:t xml:space="preserve"> </w:t>
      </w: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乳制品生产检验项目表</w:t>
      </w:r>
    </w:p>
    <w:p>
      <w:pPr>
        <w:adjustRightInd w:val="0"/>
        <w:snapToGrid w:val="0"/>
        <w:spacing w:line="560" w:lineRule="exact"/>
        <w:jc w:val="center"/>
        <w:rPr>
          <w:rFonts w:ascii="黑体" w:hAnsi="黑体" w:eastAsia="黑体"/>
          <w:sz w:val="32"/>
          <w:szCs w:val="32"/>
        </w:rPr>
      </w:pPr>
    </w:p>
    <w:tbl>
      <w:tblPr>
        <w:tblStyle w:val="29"/>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376"/>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60"/>
              <w:adjustRightInd w:val="0"/>
              <w:snapToGrid w:val="0"/>
              <w:spacing w:before="240" w:line="240" w:lineRule="auto"/>
              <w:jc w:val="center"/>
              <w:rPr>
                <w:rFonts w:ascii="黑体" w:hAnsi="黑体" w:eastAsia="黑体"/>
                <w:szCs w:val="21"/>
              </w:rPr>
            </w:pPr>
            <w:r>
              <w:rPr>
                <w:rFonts w:hint="eastAsia" w:ascii="黑体" w:hAnsi="黑体" w:eastAsia="黑体"/>
                <w:szCs w:val="21"/>
              </w:rPr>
              <w:t>检验项目</w:t>
            </w:r>
          </w:p>
        </w:tc>
        <w:tc>
          <w:tcPr>
            <w:tcW w:w="2376" w:type="dxa"/>
            <w:tcBorders>
              <w:top w:val="single" w:color="auto" w:sz="4" w:space="0"/>
              <w:left w:val="single" w:color="auto" w:sz="4" w:space="0"/>
              <w:bottom w:val="single" w:color="auto" w:sz="4" w:space="0"/>
              <w:right w:val="single" w:color="auto" w:sz="4" w:space="0"/>
            </w:tcBorders>
            <w:vAlign w:val="center"/>
          </w:tcPr>
          <w:p>
            <w:pPr>
              <w:pStyle w:val="60"/>
              <w:adjustRightInd w:val="0"/>
              <w:snapToGrid w:val="0"/>
              <w:spacing w:before="240" w:line="240" w:lineRule="auto"/>
              <w:jc w:val="center"/>
              <w:rPr>
                <w:rFonts w:ascii="黑体" w:hAnsi="黑体" w:eastAsia="黑体"/>
                <w:szCs w:val="21"/>
              </w:rPr>
            </w:pPr>
            <w:r>
              <w:rPr>
                <w:rFonts w:hint="eastAsia" w:ascii="黑体" w:hAnsi="黑体" w:eastAsia="黑体"/>
                <w:szCs w:val="21"/>
              </w:rPr>
              <w:t>依据标准</w:t>
            </w:r>
          </w:p>
        </w:tc>
        <w:tc>
          <w:tcPr>
            <w:tcW w:w="5005" w:type="dxa"/>
            <w:tcBorders>
              <w:top w:val="single" w:color="auto" w:sz="4" w:space="0"/>
              <w:left w:val="single" w:color="auto" w:sz="4" w:space="0"/>
              <w:bottom w:val="single" w:color="auto" w:sz="4" w:space="0"/>
              <w:right w:val="single" w:color="auto" w:sz="4" w:space="0"/>
            </w:tcBorders>
            <w:vAlign w:val="center"/>
          </w:tcPr>
          <w:p>
            <w:pPr>
              <w:pStyle w:val="60"/>
              <w:adjustRightInd w:val="0"/>
              <w:snapToGrid w:val="0"/>
              <w:spacing w:before="240" w:line="240" w:lineRule="auto"/>
              <w:jc w:val="center"/>
              <w:rPr>
                <w:rFonts w:ascii="黑体" w:hAnsi="黑体" w:eastAsia="黑体"/>
                <w:szCs w:val="21"/>
              </w:rPr>
            </w:pPr>
            <w:r>
              <w:rPr>
                <w:rFonts w:hint="eastAsia" w:ascii="黑体" w:hAnsi="黑体" w:eastAsia="黑体"/>
                <w:szCs w:val="21"/>
              </w:rPr>
              <w:t>对应产品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感官</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按照对应标准</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全部乳制品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净含量</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按照对应标准</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全部乳制品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脂肪</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5009.6</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巴氏杀菌乳、高温杀菌乳、调制乳、灭菌乳、发酵乳、全脂乳粉、脱脂乳粉、部分脱脂乳粉、调制乳粉、浓缩乳制品、稀奶油、奶油、无水奶油、干酪、再制干酪、脱脂牛(羊)初乳粉、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蛋白质</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5009.5</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巴氏杀菌乳、高温杀菌乳、调制乳、灭菌乳、发酵乳、全脂乳粉、脱脂乳粉、部分脱脂乳粉、调制乳粉、脱脂牛(羊)初乳粉、乳清粉和乳清蛋白粉、浓缩乳制品、特色乳制品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水分</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全脂乳粉、脱脂乳粉、部分脱脂乳粉、调制乳粉、乳清粉、炼乳(只适用加糖炼乳)、奶油、无水奶油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干物质含量</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再制干酪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干物质脂肪</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5009.6</w:t>
            </w:r>
          </w:p>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再制干酪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蔗糖</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5413.5</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调制乳粉（添加蔗糖的产品）、炼乳（只适用加糖炼乳）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乳糖</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5413.5</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乳清粉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灰分</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5009.4</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乳清粉、乳清蛋白粉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非脂乳固体</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5413.39</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巴氏杀菌乳、高温杀菌乳、灭菌乳、发酵乳、奶油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乳固体</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5413.5</w:t>
            </w:r>
          </w:p>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淡炼乳、加糖炼乳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酸度</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5009.239</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巴氏杀菌乳、高温杀菌乳、灭菌乳、发酵乳、浓缩乳制品、稀奶油、奶油（不适用以发酵稀奶油为原料的产品）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复原乳酸度</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5009.239</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全脂乳粉、脱脂乳粉、部分脱脂乳粉、脱脂牛(羊)初乳粉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杂质度</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5413.30</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全脂乳粉、脱脂乳粉、部分脱脂乳粉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免疫球蛋白（IgG）</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RHB 602 附录A</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脱脂牛(羊)初乳粉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汞</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5009.17</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巴氏杀菌乳、高温杀菌乳、调制乳、灭菌乳、发酵乳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铬</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5009.123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巴氏杀菌乳、高温杀菌乳、调制乳、灭菌乳、发酵乳、全脂乳粉、脱脂乳粉、调制乳粉、脱脂牛(羊)初乳粉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铅</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5009.12</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巴氏杀菌乳、高温杀菌乳、调制乳、灭菌乳、发酵乳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总砷</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5009.11</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巴氏杀菌乳、高温杀菌乳、调制乳、灭菌乳、发酵乳、全脂乳粉、脱脂乳粉、调制乳粉、脱脂牛(羊)初乳粉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苯并[a]</w:t>
            </w:r>
            <w:r>
              <w:rPr>
                <w:rFonts w:hint="eastAsia" w:ascii="仿宋_GB2312" w:hAnsi="仿宋_GB2312" w:eastAsia="仿宋_GB2312" w:cs="仿宋_GB2312"/>
                <w:kern w:val="0"/>
                <w:szCs w:val="21"/>
              </w:rPr>
              <w:t>芘</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5009.27</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奶油、稀奶油、无水奶油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硝酸盐</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5009.33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GB 2762规定的产品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亚硝酸盐</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5009.33</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GB 2762规定的产品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黄曲霉毒素M</w:t>
            </w:r>
            <w:r>
              <w:rPr>
                <w:rFonts w:hint="eastAsia" w:ascii="仿宋_GB2312" w:hAnsi="仿宋_GB2312" w:eastAsia="仿宋_GB2312" w:cs="仿宋_GB2312"/>
                <w:szCs w:val="21"/>
                <w:vertAlign w:val="subscript"/>
              </w:rPr>
              <w:t>1</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5009.24</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巴氏杀菌乳、高温杀菌乳、灭菌乳、调制乳、发酵乳、全脂乳粉、脱脂乳粉、调制乳粉、脱脂牛(羊)初乳粉、浓缩乳制品、奶油、干酪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菌落总数</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4789.2</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调制乳（采用灭菌工艺生产的除外）、全脂乳粉、脱脂乳粉、调制乳粉、脱脂牛(羊)初乳粉、浓缩乳制品、稀奶油、奶油（不适用发酵稀奶油为原料的产品）、无水奶油（不适用发酵稀奶油为原料的产品）、再制干酪。添加益生菌的产品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微生物（商业无菌）</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4789.26</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灭菌乳、灭菌工艺的调制乳、炼乳（仅适用于罐头工艺生产的产品）、稀奶油（适用于罐头工艺的稀奶油和超高温灭菌的稀奶油）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大肠菌群</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4789.3平板计数法</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巴氏杀菌乳、高温杀菌乳、调制乳（采用灭菌工艺生产的除外）、发酵乳、全脂乳粉、脱脂乳粉、调制乳粉、脱脂牛(羊)初乳粉、炼乳、稀奶油、奶油、无水奶油、干酪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霉菌</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4789.15</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发酵乳、脱脂牛(羊)初乳粉、稀奶油、奶油、无水奶油、干酪（但不适用霉菌发酵产品）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酵母</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4789.15</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发酵乳、脱脂牛(羊)初乳粉、干酪（但不适用霉菌发酵产品）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金黄色葡萄球菌</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4789.10</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巴氏杀菌乳、调制乳（采用灭菌工艺生产的除外）、干酪、再制干酪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沙门氏菌</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kern w:val="0"/>
                <w:szCs w:val="21"/>
              </w:rPr>
              <w:t>GB 4789.4</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巴氏杀菌乳、调制乳（采用灭菌工艺生产的除外）、发酵乳、全脂乳粉、脱脂乳粉、调制乳粉、脱脂牛(羊)初乳粉、乳清粉、浓缩乳制品、奶油、干酪、再制干酪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单核细胞增生李斯特氏菌</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25192./GB</w:t>
            </w:r>
          </w:p>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4789.30</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干酪、再制干酪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乳酸菌数</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GB 4789.35</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发酵乳（不适用经热处理的产品）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20"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三聚氰胺</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《卫生部等5部门关于三聚氰胺在食品中的限量值的公告（2011年 第10号）》</w:t>
            </w:r>
          </w:p>
        </w:tc>
        <w:tc>
          <w:tcPr>
            <w:tcW w:w="5005"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全部乳制品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vMerge w:val="continue"/>
            <w:tcBorders>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highlight w:val="yellow"/>
              </w:rPr>
            </w:pPr>
            <w:r>
              <w:rPr>
                <w:rFonts w:hint="eastAsia" w:ascii="仿宋_GB2312" w:hAnsi="仿宋_GB2312" w:eastAsia="仿宋_GB2312" w:cs="仿宋_GB2312"/>
                <w:szCs w:val="21"/>
              </w:rPr>
              <w:t>GB 22388</w:t>
            </w:r>
          </w:p>
        </w:tc>
        <w:tc>
          <w:tcPr>
            <w:tcW w:w="5005" w:type="dxa"/>
            <w:vMerge w:val="continue"/>
            <w:tcBorders>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食品添加剂</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对应的检验方法标准</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添加了GB2760允许添加的添加剂的全部乳制品，无检验方法的除外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营养强化剂</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对应的检验方法标准</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添加了GB14880允许强化的营养强化剂的全部乳制品，无检验方法的除外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标签</w:t>
            </w:r>
          </w:p>
        </w:tc>
        <w:tc>
          <w:tcPr>
            <w:tcW w:w="2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仿宋_GB2312" w:hAnsi="仿宋_GB2312" w:eastAsia="仿宋_GB2312" w:cs="仿宋_GB2312"/>
                <w:szCs w:val="21"/>
              </w:rPr>
            </w:pPr>
            <w:r>
              <w:rPr>
                <w:rFonts w:hint="eastAsia" w:ascii="仿宋_GB2312" w:hAnsi="仿宋_GB2312" w:eastAsia="仿宋_GB2312" w:cs="仿宋_GB2312"/>
                <w:szCs w:val="21"/>
              </w:rPr>
              <w:t>GB 7718、GB 28050、GB 13432</w:t>
            </w:r>
          </w:p>
        </w:tc>
        <w:tc>
          <w:tcPr>
            <w:tcW w:w="5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仿宋_GB2312" w:hAnsi="仿宋_GB2312" w:eastAsia="仿宋_GB2312" w:cs="仿宋_GB2312"/>
                <w:szCs w:val="21"/>
              </w:rPr>
            </w:pPr>
            <w:r>
              <w:rPr>
                <w:rFonts w:hint="eastAsia" w:ascii="仿宋_GB2312" w:hAnsi="仿宋_GB2312" w:eastAsia="仿宋_GB2312" w:cs="仿宋_GB2312"/>
                <w:szCs w:val="21"/>
              </w:rPr>
              <w:t>全部乳制品</w:t>
            </w:r>
          </w:p>
        </w:tc>
      </w:tr>
    </w:tbl>
    <w:p>
      <w:pPr>
        <w:adjustRightInd w:val="0"/>
        <w:snapToGrid w:val="0"/>
        <w:spacing w:line="560" w:lineRule="exact"/>
        <w:rPr>
          <w:rFonts w:ascii="Times New Roman" w:hAnsi="Times New Roman" w:eastAsia="仿宋_GB2312"/>
          <w:sz w:val="24"/>
          <w:szCs w:val="24"/>
        </w:rPr>
      </w:pPr>
    </w:p>
    <w:p>
      <w:pPr>
        <w:adjustRightInd w:val="0"/>
        <w:snapToGrid w:val="0"/>
        <w:spacing w:line="560" w:lineRule="exact"/>
        <w:ind w:firstLine="640" w:firstLineChars="200"/>
        <w:rPr>
          <w:rFonts w:ascii="仿宋_GB2312" w:hAnsi="仿宋_GB2312" w:eastAsia="仿宋_GB2312" w:cs="仿宋_GB2312"/>
          <w:bCs/>
          <w:kern w:val="0"/>
          <w:sz w:val="32"/>
          <w:szCs w:val="32"/>
        </w:rPr>
      </w:pPr>
    </w:p>
    <w:sectPr>
      <w:footerReference r:id="rId5" w:type="default"/>
      <w:pgSz w:w="11906" w:h="16838"/>
      <w:pgMar w:top="1984" w:right="1474" w:bottom="1474" w:left="1474" w:header="720" w:footer="720" w:gutter="0"/>
      <w:cols w:space="0" w:num="1"/>
      <w:formProt w:val="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0"/>
                </w:pPr>
                <w:r>
                  <w:fldChar w:fldCharType="begin"/>
                </w:r>
                <w:r>
                  <w:instrText xml:space="preserve"> PAGE  \* MERGEFORMAT </w:instrText>
                </w:r>
                <w:r>
                  <w:fldChar w:fldCharType="separate"/>
                </w:r>
                <w:r>
                  <w:t>35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pPr>
        <w:ind w:left="390" w:hanging="390"/>
      </w:pPr>
      <w:rPr>
        <w:rFonts w:hint="default" w:ascii="Times New Roman" w:hAnsi="Times New Roman"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E"/>
    <w:multiLevelType w:val="multilevel"/>
    <w:tmpl w:val="0000000E"/>
    <w:lvl w:ilvl="0" w:tentative="0">
      <w:start w:val="1"/>
      <w:numFmt w:val="decimal"/>
      <w:suff w:val="nothing"/>
      <w:lvlText w:val="%1"/>
      <w:lvlJc w:val="left"/>
      <w:pPr>
        <w:ind w:left="390" w:hanging="390"/>
      </w:pPr>
      <w:rPr>
        <w:rFonts w:hint="default" w:ascii="Times New Roman" w:hAnsi="Times New Roman"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num>
  <w:num w:numId="2">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测试14">
    <w15:presenceInfo w15:providerId="None" w15:userId="测试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forms"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443"/>
    <w:rsid w:val="00002B18"/>
    <w:rsid w:val="00002EFD"/>
    <w:rsid w:val="00003E1C"/>
    <w:rsid w:val="00005504"/>
    <w:rsid w:val="000072C4"/>
    <w:rsid w:val="00007C18"/>
    <w:rsid w:val="000113A3"/>
    <w:rsid w:val="0001472E"/>
    <w:rsid w:val="0001520F"/>
    <w:rsid w:val="000152EA"/>
    <w:rsid w:val="00016117"/>
    <w:rsid w:val="00016945"/>
    <w:rsid w:val="00017811"/>
    <w:rsid w:val="00017D9C"/>
    <w:rsid w:val="000202F6"/>
    <w:rsid w:val="000236B8"/>
    <w:rsid w:val="00027405"/>
    <w:rsid w:val="00027B9D"/>
    <w:rsid w:val="00030158"/>
    <w:rsid w:val="000304B2"/>
    <w:rsid w:val="000306A8"/>
    <w:rsid w:val="00030786"/>
    <w:rsid w:val="000309D8"/>
    <w:rsid w:val="00030CE7"/>
    <w:rsid w:val="00031C7F"/>
    <w:rsid w:val="00032C81"/>
    <w:rsid w:val="00033917"/>
    <w:rsid w:val="00035C08"/>
    <w:rsid w:val="000360FC"/>
    <w:rsid w:val="00040920"/>
    <w:rsid w:val="00040FF9"/>
    <w:rsid w:val="00041D21"/>
    <w:rsid w:val="000428BC"/>
    <w:rsid w:val="000433D0"/>
    <w:rsid w:val="000438E3"/>
    <w:rsid w:val="00043A00"/>
    <w:rsid w:val="0004425E"/>
    <w:rsid w:val="00044A68"/>
    <w:rsid w:val="000452EC"/>
    <w:rsid w:val="00045FFC"/>
    <w:rsid w:val="000468EA"/>
    <w:rsid w:val="000469E4"/>
    <w:rsid w:val="00046B4A"/>
    <w:rsid w:val="00047D0F"/>
    <w:rsid w:val="00051C2A"/>
    <w:rsid w:val="00054F16"/>
    <w:rsid w:val="00061AC4"/>
    <w:rsid w:val="00062CE6"/>
    <w:rsid w:val="00063D8A"/>
    <w:rsid w:val="0006403A"/>
    <w:rsid w:val="000643A0"/>
    <w:rsid w:val="00064680"/>
    <w:rsid w:val="00065031"/>
    <w:rsid w:val="000651D0"/>
    <w:rsid w:val="000677E9"/>
    <w:rsid w:val="00067F00"/>
    <w:rsid w:val="00070B94"/>
    <w:rsid w:val="00072A83"/>
    <w:rsid w:val="0007335A"/>
    <w:rsid w:val="00074817"/>
    <w:rsid w:val="000758B2"/>
    <w:rsid w:val="00075A7A"/>
    <w:rsid w:val="0007619E"/>
    <w:rsid w:val="000761DF"/>
    <w:rsid w:val="00076FDB"/>
    <w:rsid w:val="00077902"/>
    <w:rsid w:val="00081F53"/>
    <w:rsid w:val="000862CF"/>
    <w:rsid w:val="0008762B"/>
    <w:rsid w:val="00090BD7"/>
    <w:rsid w:val="00091C07"/>
    <w:rsid w:val="00093134"/>
    <w:rsid w:val="00094709"/>
    <w:rsid w:val="0009641E"/>
    <w:rsid w:val="0009652F"/>
    <w:rsid w:val="00097E46"/>
    <w:rsid w:val="000A2880"/>
    <w:rsid w:val="000A2B90"/>
    <w:rsid w:val="000A3ABB"/>
    <w:rsid w:val="000A5BF3"/>
    <w:rsid w:val="000A5D5D"/>
    <w:rsid w:val="000B002A"/>
    <w:rsid w:val="000B0D84"/>
    <w:rsid w:val="000B18CF"/>
    <w:rsid w:val="000B25BC"/>
    <w:rsid w:val="000B320D"/>
    <w:rsid w:val="000B4FFC"/>
    <w:rsid w:val="000B5E61"/>
    <w:rsid w:val="000B658D"/>
    <w:rsid w:val="000B77DD"/>
    <w:rsid w:val="000B78BD"/>
    <w:rsid w:val="000B7DBD"/>
    <w:rsid w:val="000C0380"/>
    <w:rsid w:val="000C1E3D"/>
    <w:rsid w:val="000C4769"/>
    <w:rsid w:val="000C5941"/>
    <w:rsid w:val="000C630A"/>
    <w:rsid w:val="000D053A"/>
    <w:rsid w:val="000D1BF3"/>
    <w:rsid w:val="000D2C32"/>
    <w:rsid w:val="000D2F18"/>
    <w:rsid w:val="000E1DBF"/>
    <w:rsid w:val="000E27FA"/>
    <w:rsid w:val="000E576D"/>
    <w:rsid w:val="000E79EF"/>
    <w:rsid w:val="000F0DF8"/>
    <w:rsid w:val="000F2B9F"/>
    <w:rsid w:val="000F3010"/>
    <w:rsid w:val="000F5362"/>
    <w:rsid w:val="000F5BD2"/>
    <w:rsid w:val="000F76FC"/>
    <w:rsid w:val="000F7CB7"/>
    <w:rsid w:val="0010105A"/>
    <w:rsid w:val="00103F6F"/>
    <w:rsid w:val="00104717"/>
    <w:rsid w:val="001055B6"/>
    <w:rsid w:val="00106056"/>
    <w:rsid w:val="00110A95"/>
    <w:rsid w:val="00110B7C"/>
    <w:rsid w:val="00114283"/>
    <w:rsid w:val="00115664"/>
    <w:rsid w:val="0012006F"/>
    <w:rsid w:val="00122107"/>
    <w:rsid w:val="00122754"/>
    <w:rsid w:val="001227AE"/>
    <w:rsid w:val="00122AB4"/>
    <w:rsid w:val="00123ADD"/>
    <w:rsid w:val="001254E4"/>
    <w:rsid w:val="00125DA1"/>
    <w:rsid w:val="00126188"/>
    <w:rsid w:val="0012698F"/>
    <w:rsid w:val="00127A09"/>
    <w:rsid w:val="00127F37"/>
    <w:rsid w:val="00127FA7"/>
    <w:rsid w:val="0013055A"/>
    <w:rsid w:val="00132110"/>
    <w:rsid w:val="00133950"/>
    <w:rsid w:val="00135050"/>
    <w:rsid w:val="00136625"/>
    <w:rsid w:val="00137FAF"/>
    <w:rsid w:val="0014011F"/>
    <w:rsid w:val="00140F92"/>
    <w:rsid w:val="00141588"/>
    <w:rsid w:val="001436E3"/>
    <w:rsid w:val="0014434C"/>
    <w:rsid w:val="00146008"/>
    <w:rsid w:val="00147258"/>
    <w:rsid w:val="00150B64"/>
    <w:rsid w:val="001517E1"/>
    <w:rsid w:val="001518D0"/>
    <w:rsid w:val="0015356F"/>
    <w:rsid w:val="001536F9"/>
    <w:rsid w:val="00153985"/>
    <w:rsid w:val="00153FA0"/>
    <w:rsid w:val="001543DC"/>
    <w:rsid w:val="00155ED7"/>
    <w:rsid w:val="00157096"/>
    <w:rsid w:val="00161532"/>
    <w:rsid w:val="00162F05"/>
    <w:rsid w:val="0016332C"/>
    <w:rsid w:val="001634BE"/>
    <w:rsid w:val="0016469E"/>
    <w:rsid w:val="0016533A"/>
    <w:rsid w:val="00166E69"/>
    <w:rsid w:val="0017079F"/>
    <w:rsid w:val="0017277E"/>
    <w:rsid w:val="00172A27"/>
    <w:rsid w:val="0017317F"/>
    <w:rsid w:val="00176436"/>
    <w:rsid w:val="00182DC8"/>
    <w:rsid w:val="00183578"/>
    <w:rsid w:val="001838E4"/>
    <w:rsid w:val="00183ED0"/>
    <w:rsid w:val="001844DB"/>
    <w:rsid w:val="00184FEB"/>
    <w:rsid w:val="00187A1F"/>
    <w:rsid w:val="00191BC9"/>
    <w:rsid w:val="00191E46"/>
    <w:rsid w:val="001945B9"/>
    <w:rsid w:val="00195471"/>
    <w:rsid w:val="00196ADB"/>
    <w:rsid w:val="00197B87"/>
    <w:rsid w:val="001A0E89"/>
    <w:rsid w:val="001A17BF"/>
    <w:rsid w:val="001A2AB8"/>
    <w:rsid w:val="001A430D"/>
    <w:rsid w:val="001A45C2"/>
    <w:rsid w:val="001A49AF"/>
    <w:rsid w:val="001A5957"/>
    <w:rsid w:val="001A7609"/>
    <w:rsid w:val="001A7766"/>
    <w:rsid w:val="001A79B6"/>
    <w:rsid w:val="001B4152"/>
    <w:rsid w:val="001C35D7"/>
    <w:rsid w:val="001C395C"/>
    <w:rsid w:val="001D05F1"/>
    <w:rsid w:val="001D0673"/>
    <w:rsid w:val="001D0A75"/>
    <w:rsid w:val="001D11B3"/>
    <w:rsid w:val="001D3AD2"/>
    <w:rsid w:val="001D4A80"/>
    <w:rsid w:val="001D5151"/>
    <w:rsid w:val="001D51B2"/>
    <w:rsid w:val="001D5579"/>
    <w:rsid w:val="001D6E8B"/>
    <w:rsid w:val="001D791A"/>
    <w:rsid w:val="001E00E5"/>
    <w:rsid w:val="001E109B"/>
    <w:rsid w:val="001E14D3"/>
    <w:rsid w:val="001E1CB4"/>
    <w:rsid w:val="001E2A66"/>
    <w:rsid w:val="001E2C8F"/>
    <w:rsid w:val="001E382A"/>
    <w:rsid w:val="001E3DA1"/>
    <w:rsid w:val="001E4BF9"/>
    <w:rsid w:val="001E5E97"/>
    <w:rsid w:val="001E6561"/>
    <w:rsid w:val="001E67E0"/>
    <w:rsid w:val="001E7A90"/>
    <w:rsid w:val="001E7F56"/>
    <w:rsid w:val="001F1194"/>
    <w:rsid w:val="001F2593"/>
    <w:rsid w:val="001F3DE1"/>
    <w:rsid w:val="001F425F"/>
    <w:rsid w:val="001F4AC7"/>
    <w:rsid w:val="001F746F"/>
    <w:rsid w:val="001F7F92"/>
    <w:rsid w:val="00201BE2"/>
    <w:rsid w:val="00201ED9"/>
    <w:rsid w:val="002055C4"/>
    <w:rsid w:val="002059B6"/>
    <w:rsid w:val="0021039D"/>
    <w:rsid w:val="0021258B"/>
    <w:rsid w:val="00214CBC"/>
    <w:rsid w:val="00215431"/>
    <w:rsid w:val="00217591"/>
    <w:rsid w:val="00220B94"/>
    <w:rsid w:val="00221588"/>
    <w:rsid w:val="00221933"/>
    <w:rsid w:val="00221D13"/>
    <w:rsid w:val="00222EAE"/>
    <w:rsid w:val="00223851"/>
    <w:rsid w:val="0022397F"/>
    <w:rsid w:val="00223A87"/>
    <w:rsid w:val="00224082"/>
    <w:rsid w:val="00224EE5"/>
    <w:rsid w:val="00225632"/>
    <w:rsid w:val="00230D36"/>
    <w:rsid w:val="00232CCA"/>
    <w:rsid w:val="00232ED9"/>
    <w:rsid w:val="00233F7C"/>
    <w:rsid w:val="0023403D"/>
    <w:rsid w:val="00234AC0"/>
    <w:rsid w:val="0023694D"/>
    <w:rsid w:val="002415B0"/>
    <w:rsid w:val="002419CD"/>
    <w:rsid w:val="0024275A"/>
    <w:rsid w:val="0024483A"/>
    <w:rsid w:val="00245535"/>
    <w:rsid w:val="002459C8"/>
    <w:rsid w:val="00247657"/>
    <w:rsid w:val="002520FB"/>
    <w:rsid w:val="00252CB0"/>
    <w:rsid w:val="002533B8"/>
    <w:rsid w:val="00253DD3"/>
    <w:rsid w:val="00254EA0"/>
    <w:rsid w:val="0025747C"/>
    <w:rsid w:val="00260140"/>
    <w:rsid w:val="00264536"/>
    <w:rsid w:val="0026472C"/>
    <w:rsid w:val="002666E6"/>
    <w:rsid w:val="00270F80"/>
    <w:rsid w:val="002712C6"/>
    <w:rsid w:val="00271798"/>
    <w:rsid w:val="00271D93"/>
    <w:rsid w:val="00272242"/>
    <w:rsid w:val="00276F47"/>
    <w:rsid w:val="002778D1"/>
    <w:rsid w:val="002806BB"/>
    <w:rsid w:val="002838F9"/>
    <w:rsid w:val="00285070"/>
    <w:rsid w:val="00292ECE"/>
    <w:rsid w:val="002938B0"/>
    <w:rsid w:val="00293DCA"/>
    <w:rsid w:val="00293FE6"/>
    <w:rsid w:val="002945D3"/>
    <w:rsid w:val="002948C8"/>
    <w:rsid w:val="002965E8"/>
    <w:rsid w:val="0029764D"/>
    <w:rsid w:val="002A161D"/>
    <w:rsid w:val="002A23D8"/>
    <w:rsid w:val="002A3053"/>
    <w:rsid w:val="002A340E"/>
    <w:rsid w:val="002A3A10"/>
    <w:rsid w:val="002A521A"/>
    <w:rsid w:val="002A702F"/>
    <w:rsid w:val="002B0BB8"/>
    <w:rsid w:val="002B1300"/>
    <w:rsid w:val="002B13B3"/>
    <w:rsid w:val="002B1DEF"/>
    <w:rsid w:val="002B1F87"/>
    <w:rsid w:val="002B4350"/>
    <w:rsid w:val="002B5B09"/>
    <w:rsid w:val="002B7567"/>
    <w:rsid w:val="002B7B16"/>
    <w:rsid w:val="002C0084"/>
    <w:rsid w:val="002C0365"/>
    <w:rsid w:val="002C087B"/>
    <w:rsid w:val="002C0901"/>
    <w:rsid w:val="002C0E81"/>
    <w:rsid w:val="002C2908"/>
    <w:rsid w:val="002C36E8"/>
    <w:rsid w:val="002C4808"/>
    <w:rsid w:val="002C4ABE"/>
    <w:rsid w:val="002C4EEB"/>
    <w:rsid w:val="002C544A"/>
    <w:rsid w:val="002C6525"/>
    <w:rsid w:val="002C6DBE"/>
    <w:rsid w:val="002C7CB0"/>
    <w:rsid w:val="002D2AC8"/>
    <w:rsid w:val="002D520D"/>
    <w:rsid w:val="002D6043"/>
    <w:rsid w:val="002D6AEB"/>
    <w:rsid w:val="002D7C90"/>
    <w:rsid w:val="002D7E8A"/>
    <w:rsid w:val="002E2E6A"/>
    <w:rsid w:val="002E4338"/>
    <w:rsid w:val="002E5765"/>
    <w:rsid w:val="002F0F61"/>
    <w:rsid w:val="002F33F3"/>
    <w:rsid w:val="002F6593"/>
    <w:rsid w:val="002F6FEB"/>
    <w:rsid w:val="002F769B"/>
    <w:rsid w:val="002F7E0D"/>
    <w:rsid w:val="002F7E50"/>
    <w:rsid w:val="003000F0"/>
    <w:rsid w:val="003005C1"/>
    <w:rsid w:val="00302F08"/>
    <w:rsid w:val="003036F3"/>
    <w:rsid w:val="00304389"/>
    <w:rsid w:val="00304CF8"/>
    <w:rsid w:val="00306A96"/>
    <w:rsid w:val="00306EE1"/>
    <w:rsid w:val="00310208"/>
    <w:rsid w:val="00311EF9"/>
    <w:rsid w:val="003202C8"/>
    <w:rsid w:val="00321739"/>
    <w:rsid w:val="00324147"/>
    <w:rsid w:val="003243D0"/>
    <w:rsid w:val="0032572D"/>
    <w:rsid w:val="003262AB"/>
    <w:rsid w:val="00326BC1"/>
    <w:rsid w:val="0032723C"/>
    <w:rsid w:val="003275DA"/>
    <w:rsid w:val="00330234"/>
    <w:rsid w:val="00336448"/>
    <w:rsid w:val="00337280"/>
    <w:rsid w:val="00341189"/>
    <w:rsid w:val="003420A8"/>
    <w:rsid w:val="0034403F"/>
    <w:rsid w:val="00344AFE"/>
    <w:rsid w:val="003451C5"/>
    <w:rsid w:val="00345C24"/>
    <w:rsid w:val="00346630"/>
    <w:rsid w:val="003517EA"/>
    <w:rsid w:val="00353060"/>
    <w:rsid w:val="003536DA"/>
    <w:rsid w:val="0035370C"/>
    <w:rsid w:val="00353F53"/>
    <w:rsid w:val="00355EDF"/>
    <w:rsid w:val="00360F58"/>
    <w:rsid w:val="00364C75"/>
    <w:rsid w:val="00365FBF"/>
    <w:rsid w:val="003673C6"/>
    <w:rsid w:val="0037033D"/>
    <w:rsid w:val="00371ACB"/>
    <w:rsid w:val="00372C5D"/>
    <w:rsid w:val="003747DF"/>
    <w:rsid w:val="00375FB5"/>
    <w:rsid w:val="00380939"/>
    <w:rsid w:val="003812FF"/>
    <w:rsid w:val="00382551"/>
    <w:rsid w:val="0038283F"/>
    <w:rsid w:val="003830D7"/>
    <w:rsid w:val="003841A6"/>
    <w:rsid w:val="00384940"/>
    <w:rsid w:val="0038518C"/>
    <w:rsid w:val="0038574E"/>
    <w:rsid w:val="00385EE5"/>
    <w:rsid w:val="003864BF"/>
    <w:rsid w:val="003876BC"/>
    <w:rsid w:val="003900B6"/>
    <w:rsid w:val="00391D7D"/>
    <w:rsid w:val="00392048"/>
    <w:rsid w:val="003933F8"/>
    <w:rsid w:val="00393785"/>
    <w:rsid w:val="00394554"/>
    <w:rsid w:val="0039758F"/>
    <w:rsid w:val="00397FF9"/>
    <w:rsid w:val="003A4C47"/>
    <w:rsid w:val="003A6BC6"/>
    <w:rsid w:val="003A6E42"/>
    <w:rsid w:val="003B0A07"/>
    <w:rsid w:val="003B1A2E"/>
    <w:rsid w:val="003B4A39"/>
    <w:rsid w:val="003B500D"/>
    <w:rsid w:val="003B6453"/>
    <w:rsid w:val="003B65AA"/>
    <w:rsid w:val="003C030A"/>
    <w:rsid w:val="003C119F"/>
    <w:rsid w:val="003C1596"/>
    <w:rsid w:val="003C1CAA"/>
    <w:rsid w:val="003C2E45"/>
    <w:rsid w:val="003C31E0"/>
    <w:rsid w:val="003C581E"/>
    <w:rsid w:val="003C6103"/>
    <w:rsid w:val="003C74E3"/>
    <w:rsid w:val="003C7720"/>
    <w:rsid w:val="003C7D71"/>
    <w:rsid w:val="003D2DA2"/>
    <w:rsid w:val="003D3981"/>
    <w:rsid w:val="003D501A"/>
    <w:rsid w:val="003D690F"/>
    <w:rsid w:val="003E14FB"/>
    <w:rsid w:val="003E1F46"/>
    <w:rsid w:val="003E5210"/>
    <w:rsid w:val="003E7675"/>
    <w:rsid w:val="003F0CC3"/>
    <w:rsid w:val="003F0E2E"/>
    <w:rsid w:val="003F6765"/>
    <w:rsid w:val="003F6923"/>
    <w:rsid w:val="00400F64"/>
    <w:rsid w:val="00402064"/>
    <w:rsid w:val="004020DB"/>
    <w:rsid w:val="00402936"/>
    <w:rsid w:val="00403149"/>
    <w:rsid w:val="00403D07"/>
    <w:rsid w:val="00403E71"/>
    <w:rsid w:val="00404E05"/>
    <w:rsid w:val="0040570E"/>
    <w:rsid w:val="00405872"/>
    <w:rsid w:val="00405F04"/>
    <w:rsid w:val="00410467"/>
    <w:rsid w:val="00410C99"/>
    <w:rsid w:val="00411F55"/>
    <w:rsid w:val="00413951"/>
    <w:rsid w:val="00416DB5"/>
    <w:rsid w:val="00417E09"/>
    <w:rsid w:val="00420392"/>
    <w:rsid w:val="00420E7D"/>
    <w:rsid w:val="00421030"/>
    <w:rsid w:val="00422916"/>
    <w:rsid w:val="00422E4F"/>
    <w:rsid w:val="00424A39"/>
    <w:rsid w:val="00425600"/>
    <w:rsid w:val="00425809"/>
    <w:rsid w:val="0042675B"/>
    <w:rsid w:val="00426796"/>
    <w:rsid w:val="00431DA6"/>
    <w:rsid w:val="004352E3"/>
    <w:rsid w:val="00436FC2"/>
    <w:rsid w:val="004370D8"/>
    <w:rsid w:val="0043723A"/>
    <w:rsid w:val="00437596"/>
    <w:rsid w:val="004375CB"/>
    <w:rsid w:val="004376D1"/>
    <w:rsid w:val="00440E7F"/>
    <w:rsid w:val="00441839"/>
    <w:rsid w:val="004427F2"/>
    <w:rsid w:val="00442D4F"/>
    <w:rsid w:val="00443D82"/>
    <w:rsid w:val="00445021"/>
    <w:rsid w:val="00445EA3"/>
    <w:rsid w:val="0044625D"/>
    <w:rsid w:val="004465E6"/>
    <w:rsid w:val="004479F3"/>
    <w:rsid w:val="00450789"/>
    <w:rsid w:val="00452110"/>
    <w:rsid w:val="0045252E"/>
    <w:rsid w:val="004528BE"/>
    <w:rsid w:val="0045372C"/>
    <w:rsid w:val="004538C5"/>
    <w:rsid w:val="00455DCC"/>
    <w:rsid w:val="0046194C"/>
    <w:rsid w:val="004627E4"/>
    <w:rsid w:val="0046499E"/>
    <w:rsid w:val="00464C1A"/>
    <w:rsid w:val="00464F88"/>
    <w:rsid w:val="00466957"/>
    <w:rsid w:val="0046741F"/>
    <w:rsid w:val="004706B0"/>
    <w:rsid w:val="004711EA"/>
    <w:rsid w:val="004713F4"/>
    <w:rsid w:val="0047537B"/>
    <w:rsid w:val="00475EC4"/>
    <w:rsid w:val="0048008A"/>
    <w:rsid w:val="00481BED"/>
    <w:rsid w:val="00481C45"/>
    <w:rsid w:val="00482435"/>
    <w:rsid w:val="0048369C"/>
    <w:rsid w:val="004845B3"/>
    <w:rsid w:val="00486ADA"/>
    <w:rsid w:val="00486FB4"/>
    <w:rsid w:val="004873C6"/>
    <w:rsid w:val="00487A0E"/>
    <w:rsid w:val="00487CB6"/>
    <w:rsid w:val="00490455"/>
    <w:rsid w:val="00490E95"/>
    <w:rsid w:val="004922A1"/>
    <w:rsid w:val="00492909"/>
    <w:rsid w:val="004939F5"/>
    <w:rsid w:val="00493C5E"/>
    <w:rsid w:val="004975AE"/>
    <w:rsid w:val="004A0009"/>
    <w:rsid w:val="004A0389"/>
    <w:rsid w:val="004A0B88"/>
    <w:rsid w:val="004A1422"/>
    <w:rsid w:val="004A19A1"/>
    <w:rsid w:val="004A44D9"/>
    <w:rsid w:val="004A492D"/>
    <w:rsid w:val="004A569F"/>
    <w:rsid w:val="004A5721"/>
    <w:rsid w:val="004A6278"/>
    <w:rsid w:val="004A7D44"/>
    <w:rsid w:val="004B0A01"/>
    <w:rsid w:val="004B0B89"/>
    <w:rsid w:val="004B0CDC"/>
    <w:rsid w:val="004B1795"/>
    <w:rsid w:val="004B2B5B"/>
    <w:rsid w:val="004B2DD7"/>
    <w:rsid w:val="004B3A36"/>
    <w:rsid w:val="004B3BDA"/>
    <w:rsid w:val="004B5824"/>
    <w:rsid w:val="004B6220"/>
    <w:rsid w:val="004B6B4B"/>
    <w:rsid w:val="004B6CF1"/>
    <w:rsid w:val="004B6DA7"/>
    <w:rsid w:val="004C094B"/>
    <w:rsid w:val="004C2D6D"/>
    <w:rsid w:val="004C4745"/>
    <w:rsid w:val="004C5702"/>
    <w:rsid w:val="004C666B"/>
    <w:rsid w:val="004C7E4B"/>
    <w:rsid w:val="004D0307"/>
    <w:rsid w:val="004D04CA"/>
    <w:rsid w:val="004D0BA8"/>
    <w:rsid w:val="004D1CA1"/>
    <w:rsid w:val="004D2296"/>
    <w:rsid w:val="004D22FF"/>
    <w:rsid w:val="004D4B00"/>
    <w:rsid w:val="004D51CA"/>
    <w:rsid w:val="004D7343"/>
    <w:rsid w:val="004E077C"/>
    <w:rsid w:val="004E1A31"/>
    <w:rsid w:val="004E38C0"/>
    <w:rsid w:val="004E79FC"/>
    <w:rsid w:val="004F0F47"/>
    <w:rsid w:val="004F19A9"/>
    <w:rsid w:val="004F2343"/>
    <w:rsid w:val="004F2E3C"/>
    <w:rsid w:val="004F65A0"/>
    <w:rsid w:val="004F666D"/>
    <w:rsid w:val="004F6B64"/>
    <w:rsid w:val="004F7000"/>
    <w:rsid w:val="0050307B"/>
    <w:rsid w:val="0050350A"/>
    <w:rsid w:val="0050557A"/>
    <w:rsid w:val="00510279"/>
    <w:rsid w:val="00516A71"/>
    <w:rsid w:val="0051772B"/>
    <w:rsid w:val="00523679"/>
    <w:rsid w:val="00527509"/>
    <w:rsid w:val="00530AC4"/>
    <w:rsid w:val="0053234B"/>
    <w:rsid w:val="00532E0C"/>
    <w:rsid w:val="005338F5"/>
    <w:rsid w:val="00533FA5"/>
    <w:rsid w:val="005352CE"/>
    <w:rsid w:val="00540410"/>
    <w:rsid w:val="00541E24"/>
    <w:rsid w:val="0054206A"/>
    <w:rsid w:val="005422BB"/>
    <w:rsid w:val="00543172"/>
    <w:rsid w:val="00543A6C"/>
    <w:rsid w:val="00543D80"/>
    <w:rsid w:val="0054461B"/>
    <w:rsid w:val="005464B9"/>
    <w:rsid w:val="005472B2"/>
    <w:rsid w:val="00551903"/>
    <w:rsid w:val="00551D72"/>
    <w:rsid w:val="0055277A"/>
    <w:rsid w:val="00553756"/>
    <w:rsid w:val="00555BA7"/>
    <w:rsid w:val="00556202"/>
    <w:rsid w:val="00556FCC"/>
    <w:rsid w:val="00557307"/>
    <w:rsid w:val="0056358D"/>
    <w:rsid w:val="00564057"/>
    <w:rsid w:val="0056577B"/>
    <w:rsid w:val="00570AC3"/>
    <w:rsid w:val="0057134B"/>
    <w:rsid w:val="00573664"/>
    <w:rsid w:val="005739D2"/>
    <w:rsid w:val="00575689"/>
    <w:rsid w:val="00576806"/>
    <w:rsid w:val="00580795"/>
    <w:rsid w:val="00580A3E"/>
    <w:rsid w:val="00582422"/>
    <w:rsid w:val="0058319F"/>
    <w:rsid w:val="00584C26"/>
    <w:rsid w:val="00585719"/>
    <w:rsid w:val="005863E5"/>
    <w:rsid w:val="00586B27"/>
    <w:rsid w:val="00586DF9"/>
    <w:rsid w:val="0058703C"/>
    <w:rsid w:val="0059133D"/>
    <w:rsid w:val="005913B9"/>
    <w:rsid w:val="00591F36"/>
    <w:rsid w:val="00592AF9"/>
    <w:rsid w:val="00592B5E"/>
    <w:rsid w:val="0059384B"/>
    <w:rsid w:val="00593A9A"/>
    <w:rsid w:val="00594387"/>
    <w:rsid w:val="005951BE"/>
    <w:rsid w:val="00595544"/>
    <w:rsid w:val="0059570F"/>
    <w:rsid w:val="00597063"/>
    <w:rsid w:val="00597BA6"/>
    <w:rsid w:val="00597F1F"/>
    <w:rsid w:val="005A0FB3"/>
    <w:rsid w:val="005A173C"/>
    <w:rsid w:val="005A3D0D"/>
    <w:rsid w:val="005A41E7"/>
    <w:rsid w:val="005A4AAA"/>
    <w:rsid w:val="005A5854"/>
    <w:rsid w:val="005A5C61"/>
    <w:rsid w:val="005A64EC"/>
    <w:rsid w:val="005B1951"/>
    <w:rsid w:val="005B2AC4"/>
    <w:rsid w:val="005B3953"/>
    <w:rsid w:val="005B4F7D"/>
    <w:rsid w:val="005B5903"/>
    <w:rsid w:val="005C1662"/>
    <w:rsid w:val="005C3AC2"/>
    <w:rsid w:val="005C49EE"/>
    <w:rsid w:val="005C5A3B"/>
    <w:rsid w:val="005C6217"/>
    <w:rsid w:val="005C720D"/>
    <w:rsid w:val="005D1305"/>
    <w:rsid w:val="005D18AB"/>
    <w:rsid w:val="005D5488"/>
    <w:rsid w:val="005D5913"/>
    <w:rsid w:val="005D6110"/>
    <w:rsid w:val="005D63D0"/>
    <w:rsid w:val="005D759B"/>
    <w:rsid w:val="005D7BFC"/>
    <w:rsid w:val="005E05C9"/>
    <w:rsid w:val="005E0DB8"/>
    <w:rsid w:val="005E15AB"/>
    <w:rsid w:val="005E2E0A"/>
    <w:rsid w:val="005E2E5E"/>
    <w:rsid w:val="005E32C5"/>
    <w:rsid w:val="005E6E28"/>
    <w:rsid w:val="005F4DC4"/>
    <w:rsid w:val="005F6055"/>
    <w:rsid w:val="005F709F"/>
    <w:rsid w:val="005F7B6D"/>
    <w:rsid w:val="00603F99"/>
    <w:rsid w:val="00604EA7"/>
    <w:rsid w:val="00605EFF"/>
    <w:rsid w:val="00606A99"/>
    <w:rsid w:val="00606DDD"/>
    <w:rsid w:val="006137BF"/>
    <w:rsid w:val="00614056"/>
    <w:rsid w:val="006167A2"/>
    <w:rsid w:val="00617A1B"/>
    <w:rsid w:val="006206FE"/>
    <w:rsid w:val="00621F0F"/>
    <w:rsid w:val="00622CD4"/>
    <w:rsid w:val="006238B2"/>
    <w:rsid w:val="0063048C"/>
    <w:rsid w:val="00631AF8"/>
    <w:rsid w:val="0063236B"/>
    <w:rsid w:val="00634208"/>
    <w:rsid w:val="00635A39"/>
    <w:rsid w:val="00635AA4"/>
    <w:rsid w:val="00636162"/>
    <w:rsid w:val="006400FF"/>
    <w:rsid w:val="0064027D"/>
    <w:rsid w:val="00641549"/>
    <w:rsid w:val="00643033"/>
    <w:rsid w:val="00645B01"/>
    <w:rsid w:val="00646AF3"/>
    <w:rsid w:val="00647C21"/>
    <w:rsid w:val="00651327"/>
    <w:rsid w:val="006521F3"/>
    <w:rsid w:val="006527D3"/>
    <w:rsid w:val="006528E5"/>
    <w:rsid w:val="00652930"/>
    <w:rsid w:val="00653871"/>
    <w:rsid w:val="00655D96"/>
    <w:rsid w:val="006568CA"/>
    <w:rsid w:val="00657E69"/>
    <w:rsid w:val="006608A4"/>
    <w:rsid w:val="00661831"/>
    <w:rsid w:val="00662A2A"/>
    <w:rsid w:val="0066424D"/>
    <w:rsid w:val="00664BE7"/>
    <w:rsid w:val="00665371"/>
    <w:rsid w:val="00665F32"/>
    <w:rsid w:val="0066662E"/>
    <w:rsid w:val="00667D18"/>
    <w:rsid w:val="00672506"/>
    <w:rsid w:val="00673181"/>
    <w:rsid w:val="00674FCF"/>
    <w:rsid w:val="0067685B"/>
    <w:rsid w:val="006825BE"/>
    <w:rsid w:val="006827A7"/>
    <w:rsid w:val="00684804"/>
    <w:rsid w:val="00690250"/>
    <w:rsid w:val="00691655"/>
    <w:rsid w:val="00691A83"/>
    <w:rsid w:val="0069279D"/>
    <w:rsid w:val="006929D6"/>
    <w:rsid w:val="00692E44"/>
    <w:rsid w:val="00693445"/>
    <w:rsid w:val="006940CC"/>
    <w:rsid w:val="0069451F"/>
    <w:rsid w:val="00694A3E"/>
    <w:rsid w:val="00695A66"/>
    <w:rsid w:val="00695FF1"/>
    <w:rsid w:val="00696EAB"/>
    <w:rsid w:val="00696F19"/>
    <w:rsid w:val="00697758"/>
    <w:rsid w:val="006A0961"/>
    <w:rsid w:val="006A0B8D"/>
    <w:rsid w:val="006A29D0"/>
    <w:rsid w:val="006A5798"/>
    <w:rsid w:val="006A6A83"/>
    <w:rsid w:val="006A7B86"/>
    <w:rsid w:val="006A7DFC"/>
    <w:rsid w:val="006B00FD"/>
    <w:rsid w:val="006B0E96"/>
    <w:rsid w:val="006B393A"/>
    <w:rsid w:val="006B3D9B"/>
    <w:rsid w:val="006B448C"/>
    <w:rsid w:val="006B5974"/>
    <w:rsid w:val="006B5F8A"/>
    <w:rsid w:val="006B72E2"/>
    <w:rsid w:val="006B7450"/>
    <w:rsid w:val="006B74CB"/>
    <w:rsid w:val="006B7E92"/>
    <w:rsid w:val="006C12C4"/>
    <w:rsid w:val="006C797B"/>
    <w:rsid w:val="006C7D5A"/>
    <w:rsid w:val="006D15D8"/>
    <w:rsid w:val="006D2AF6"/>
    <w:rsid w:val="006D5202"/>
    <w:rsid w:val="006D5AE2"/>
    <w:rsid w:val="006D5F6D"/>
    <w:rsid w:val="006D65CC"/>
    <w:rsid w:val="006D699F"/>
    <w:rsid w:val="006D6C55"/>
    <w:rsid w:val="006D71A9"/>
    <w:rsid w:val="006E0AAE"/>
    <w:rsid w:val="006E2CDD"/>
    <w:rsid w:val="006E39A9"/>
    <w:rsid w:val="006E664B"/>
    <w:rsid w:val="006E6B47"/>
    <w:rsid w:val="006E6E96"/>
    <w:rsid w:val="006E7095"/>
    <w:rsid w:val="006F0C86"/>
    <w:rsid w:val="006F247F"/>
    <w:rsid w:val="006F3C0E"/>
    <w:rsid w:val="006F68EC"/>
    <w:rsid w:val="006F6F40"/>
    <w:rsid w:val="006F7E0E"/>
    <w:rsid w:val="00700CBC"/>
    <w:rsid w:val="007012C3"/>
    <w:rsid w:val="007024DE"/>
    <w:rsid w:val="007078A1"/>
    <w:rsid w:val="00711772"/>
    <w:rsid w:val="00712323"/>
    <w:rsid w:val="00713AFF"/>
    <w:rsid w:val="00714FC6"/>
    <w:rsid w:val="00715F11"/>
    <w:rsid w:val="00716DBB"/>
    <w:rsid w:val="00721580"/>
    <w:rsid w:val="00722D0B"/>
    <w:rsid w:val="007234DD"/>
    <w:rsid w:val="00723848"/>
    <w:rsid w:val="0072408A"/>
    <w:rsid w:val="00724B7D"/>
    <w:rsid w:val="007253CF"/>
    <w:rsid w:val="007264E0"/>
    <w:rsid w:val="00727E0B"/>
    <w:rsid w:val="007326F0"/>
    <w:rsid w:val="00732C05"/>
    <w:rsid w:val="00736464"/>
    <w:rsid w:val="00736C7F"/>
    <w:rsid w:val="00736E8D"/>
    <w:rsid w:val="007405BE"/>
    <w:rsid w:val="00741651"/>
    <w:rsid w:val="007417C3"/>
    <w:rsid w:val="00745007"/>
    <w:rsid w:val="00745D3E"/>
    <w:rsid w:val="007466B1"/>
    <w:rsid w:val="00746C97"/>
    <w:rsid w:val="0074748F"/>
    <w:rsid w:val="00750557"/>
    <w:rsid w:val="0075067F"/>
    <w:rsid w:val="007525CA"/>
    <w:rsid w:val="00753138"/>
    <w:rsid w:val="00753B45"/>
    <w:rsid w:val="0075466C"/>
    <w:rsid w:val="00755136"/>
    <w:rsid w:val="00755E21"/>
    <w:rsid w:val="00756CD0"/>
    <w:rsid w:val="0075783B"/>
    <w:rsid w:val="00760741"/>
    <w:rsid w:val="0076487B"/>
    <w:rsid w:val="0076777B"/>
    <w:rsid w:val="00771B47"/>
    <w:rsid w:val="007721FE"/>
    <w:rsid w:val="00772E18"/>
    <w:rsid w:val="00773D23"/>
    <w:rsid w:val="00773FFA"/>
    <w:rsid w:val="00774711"/>
    <w:rsid w:val="007757E4"/>
    <w:rsid w:val="0077609C"/>
    <w:rsid w:val="007760BA"/>
    <w:rsid w:val="00776C85"/>
    <w:rsid w:val="007802AC"/>
    <w:rsid w:val="007811D6"/>
    <w:rsid w:val="00781540"/>
    <w:rsid w:val="00781C54"/>
    <w:rsid w:val="00782C7C"/>
    <w:rsid w:val="00784AF3"/>
    <w:rsid w:val="00784BC7"/>
    <w:rsid w:val="0078627D"/>
    <w:rsid w:val="0078660C"/>
    <w:rsid w:val="00786D20"/>
    <w:rsid w:val="00790CA7"/>
    <w:rsid w:val="00791F7B"/>
    <w:rsid w:val="00792BAB"/>
    <w:rsid w:val="007957B8"/>
    <w:rsid w:val="00796924"/>
    <w:rsid w:val="007976A1"/>
    <w:rsid w:val="007A1295"/>
    <w:rsid w:val="007A131A"/>
    <w:rsid w:val="007A3F43"/>
    <w:rsid w:val="007A46F0"/>
    <w:rsid w:val="007A4928"/>
    <w:rsid w:val="007A5561"/>
    <w:rsid w:val="007B0D32"/>
    <w:rsid w:val="007B0E63"/>
    <w:rsid w:val="007B1735"/>
    <w:rsid w:val="007B31B3"/>
    <w:rsid w:val="007B4A5E"/>
    <w:rsid w:val="007B5284"/>
    <w:rsid w:val="007C18EE"/>
    <w:rsid w:val="007C1AFA"/>
    <w:rsid w:val="007C2339"/>
    <w:rsid w:val="007C2A50"/>
    <w:rsid w:val="007C2BE3"/>
    <w:rsid w:val="007C499D"/>
    <w:rsid w:val="007C51F3"/>
    <w:rsid w:val="007C5A74"/>
    <w:rsid w:val="007D091A"/>
    <w:rsid w:val="007D13A4"/>
    <w:rsid w:val="007D30CA"/>
    <w:rsid w:val="007D40DD"/>
    <w:rsid w:val="007D5521"/>
    <w:rsid w:val="007D5BA8"/>
    <w:rsid w:val="007D6A8D"/>
    <w:rsid w:val="007D7DE0"/>
    <w:rsid w:val="007D7E4D"/>
    <w:rsid w:val="007E2978"/>
    <w:rsid w:val="007E2AE6"/>
    <w:rsid w:val="007E384C"/>
    <w:rsid w:val="007E59B4"/>
    <w:rsid w:val="007E6D22"/>
    <w:rsid w:val="007E6FAC"/>
    <w:rsid w:val="007E747A"/>
    <w:rsid w:val="007E7D17"/>
    <w:rsid w:val="007F09D0"/>
    <w:rsid w:val="007F2A35"/>
    <w:rsid w:val="007F40D6"/>
    <w:rsid w:val="007F6B27"/>
    <w:rsid w:val="007F7290"/>
    <w:rsid w:val="007F7509"/>
    <w:rsid w:val="00801464"/>
    <w:rsid w:val="00802727"/>
    <w:rsid w:val="008037E4"/>
    <w:rsid w:val="00803A6F"/>
    <w:rsid w:val="00803C35"/>
    <w:rsid w:val="0080490D"/>
    <w:rsid w:val="00805766"/>
    <w:rsid w:val="008057EF"/>
    <w:rsid w:val="00805D4C"/>
    <w:rsid w:val="00806801"/>
    <w:rsid w:val="00806CD8"/>
    <w:rsid w:val="00806D92"/>
    <w:rsid w:val="00806F08"/>
    <w:rsid w:val="008078D0"/>
    <w:rsid w:val="008100C2"/>
    <w:rsid w:val="00813A18"/>
    <w:rsid w:val="00815BE4"/>
    <w:rsid w:val="008162DD"/>
    <w:rsid w:val="008163A2"/>
    <w:rsid w:val="008172D5"/>
    <w:rsid w:val="00817570"/>
    <w:rsid w:val="00821B88"/>
    <w:rsid w:val="00822B0C"/>
    <w:rsid w:val="00824E18"/>
    <w:rsid w:val="00825163"/>
    <w:rsid w:val="008269BE"/>
    <w:rsid w:val="008271F1"/>
    <w:rsid w:val="00830A8D"/>
    <w:rsid w:val="00835064"/>
    <w:rsid w:val="0083544B"/>
    <w:rsid w:val="00835C75"/>
    <w:rsid w:val="00835C83"/>
    <w:rsid w:val="00835D60"/>
    <w:rsid w:val="00840ADD"/>
    <w:rsid w:val="00843FB8"/>
    <w:rsid w:val="008462EB"/>
    <w:rsid w:val="008472E2"/>
    <w:rsid w:val="0084798B"/>
    <w:rsid w:val="00851A2E"/>
    <w:rsid w:val="00855833"/>
    <w:rsid w:val="00855CB2"/>
    <w:rsid w:val="00856EE2"/>
    <w:rsid w:val="00857264"/>
    <w:rsid w:val="0086004B"/>
    <w:rsid w:val="008606FF"/>
    <w:rsid w:val="00865B52"/>
    <w:rsid w:val="00866F7C"/>
    <w:rsid w:val="008675B7"/>
    <w:rsid w:val="00871BE2"/>
    <w:rsid w:val="00872678"/>
    <w:rsid w:val="0087289C"/>
    <w:rsid w:val="00873474"/>
    <w:rsid w:val="00873B10"/>
    <w:rsid w:val="00874AF9"/>
    <w:rsid w:val="008750DE"/>
    <w:rsid w:val="00875874"/>
    <w:rsid w:val="00877E42"/>
    <w:rsid w:val="00880763"/>
    <w:rsid w:val="00880FB5"/>
    <w:rsid w:val="0088166E"/>
    <w:rsid w:val="00882534"/>
    <w:rsid w:val="0088316B"/>
    <w:rsid w:val="0088357F"/>
    <w:rsid w:val="00885751"/>
    <w:rsid w:val="00891633"/>
    <w:rsid w:val="00891CF5"/>
    <w:rsid w:val="0089432F"/>
    <w:rsid w:val="0089546E"/>
    <w:rsid w:val="008960D2"/>
    <w:rsid w:val="008976DC"/>
    <w:rsid w:val="00897DE1"/>
    <w:rsid w:val="00897EDC"/>
    <w:rsid w:val="008A0A75"/>
    <w:rsid w:val="008A0F57"/>
    <w:rsid w:val="008A0FAB"/>
    <w:rsid w:val="008A195C"/>
    <w:rsid w:val="008A1F54"/>
    <w:rsid w:val="008A244D"/>
    <w:rsid w:val="008A2FBD"/>
    <w:rsid w:val="008A4050"/>
    <w:rsid w:val="008A656C"/>
    <w:rsid w:val="008A680C"/>
    <w:rsid w:val="008A7A61"/>
    <w:rsid w:val="008B1237"/>
    <w:rsid w:val="008B23E4"/>
    <w:rsid w:val="008B3A47"/>
    <w:rsid w:val="008B435E"/>
    <w:rsid w:val="008B53AD"/>
    <w:rsid w:val="008B5CA9"/>
    <w:rsid w:val="008B7A01"/>
    <w:rsid w:val="008B7B5C"/>
    <w:rsid w:val="008B7DA5"/>
    <w:rsid w:val="008C0819"/>
    <w:rsid w:val="008C287E"/>
    <w:rsid w:val="008C3004"/>
    <w:rsid w:val="008C3925"/>
    <w:rsid w:val="008C53F3"/>
    <w:rsid w:val="008C6F1F"/>
    <w:rsid w:val="008C79D9"/>
    <w:rsid w:val="008D093B"/>
    <w:rsid w:val="008D0F7F"/>
    <w:rsid w:val="008D1850"/>
    <w:rsid w:val="008D3CED"/>
    <w:rsid w:val="008D5E74"/>
    <w:rsid w:val="008D7365"/>
    <w:rsid w:val="008E22E9"/>
    <w:rsid w:val="008E34C7"/>
    <w:rsid w:val="008E4AED"/>
    <w:rsid w:val="008E4EBF"/>
    <w:rsid w:val="008E5D77"/>
    <w:rsid w:val="008E5F37"/>
    <w:rsid w:val="008E79E9"/>
    <w:rsid w:val="008E7E9D"/>
    <w:rsid w:val="008F198E"/>
    <w:rsid w:val="008F6931"/>
    <w:rsid w:val="008F73CC"/>
    <w:rsid w:val="008F795F"/>
    <w:rsid w:val="00900128"/>
    <w:rsid w:val="009008F6"/>
    <w:rsid w:val="00901FBB"/>
    <w:rsid w:val="0090454A"/>
    <w:rsid w:val="00911021"/>
    <w:rsid w:val="00911CAD"/>
    <w:rsid w:val="00912114"/>
    <w:rsid w:val="00913ABC"/>
    <w:rsid w:val="009155D3"/>
    <w:rsid w:val="009156A9"/>
    <w:rsid w:val="00915AC7"/>
    <w:rsid w:val="00916D8B"/>
    <w:rsid w:val="00924C9D"/>
    <w:rsid w:val="00924CC2"/>
    <w:rsid w:val="00925F1E"/>
    <w:rsid w:val="00927B9C"/>
    <w:rsid w:val="009303C2"/>
    <w:rsid w:val="00933557"/>
    <w:rsid w:val="0093409D"/>
    <w:rsid w:val="00934A85"/>
    <w:rsid w:val="00935C3A"/>
    <w:rsid w:val="00936CC0"/>
    <w:rsid w:val="00937517"/>
    <w:rsid w:val="00937E18"/>
    <w:rsid w:val="00940A1D"/>
    <w:rsid w:val="00940BF9"/>
    <w:rsid w:val="00941595"/>
    <w:rsid w:val="00944BF1"/>
    <w:rsid w:val="00945098"/>
    <w:rsid w:val="009461D6"/>
    <w:rsid w:val="009468BE"/>
    <w:rsid w:val="00946C1D"/>
    <w:rsid w:val="009507A5"/>
    <w:rsid w:val="00951F9F"/>
    <w:rsid w:val="00952A7F"/>
    <w:rsid w:val="009537DC"/>
    <w:rsid w:val="00954519"/>
    <w:rsid w:val="00955B86"/>
    <w:rsid w:val="00956896"/>
    <w:rsid w:val="009570F1"/>
    <w:rsid w:val="009604DF"/>
    <w:rsid w:val="00960DDE"/>
    <w:rsid w:val="0096419A"/>
    <w:rsid w:val="00965517"/>
    <w:rsid w:val="0096578B"/>
    <w:rsid w:val="00965C56"/>
    <w:rsid w:val="00965C98"/>
    <w:rsid w:val="00970180"/>
    <w:rsid w:val="00973BC9"/>
    <w:rsid w:val="00975140"/>
    <w:rsid w:val="00980B2A"/>
    <w:rsid w:val="00980C34"/>
    <w:rsid w:val="00981FF0"/>
    <w:rsid w:val="00982EE4"/>
    <w:rsid w:val="00983D22"/>
    <w:rsid w:val="00983D9B"/>
    <w:rsid w:val="009858F7"/>
    <w:rsid w:val="0098799B"/>
    <w:rsid w:val="00990C76"/>
    <w:rsid w:val="0099133C"/>
    <w:rsid w:val="00991693"/>
    <w:rsid w:val="00993C2D"/>
    <w:rsid w:val="00993E89"/>
    <w:rsid w:val="009970B5"/>
    <w:rsid w:val="00997807"/>
    <w:rsid w:val="009A0F63"/>
    <w:rsid w:val="009A1465"/>
    <w:rsid w:val="009A41CD"/>
    <w:rsid w:val="009A50C5"/>
    <w:rsid w:val="009A6524"/>
    <w:rsid w:val="009A77C2"/>
    <w:rsid w:val="009B1B76"/>
    <w:rsid w:val="009B20E3"/>
    <w:rsid w:val="009B2ACD"/>
    <w:rsid w:val="009B328A"/>
    <w:rsid w:val="009B4030"/>
    <w:rsid w:val="009B4767"/>
    <w:rsid w:val="009B4C02"/>
    <w:rsid w:val="009B7210"/>
    <w:rsid w:val="009B7A34"/>
    <w:rsid w:val="009C01F2"/>
    <w:rsid w:val="009C2EB3"/>
    <w:rsid w:val="009C56CA"/>
    <w:rsid w:val="009C61D9"/>
    <w:rsid w:val="009C63FE"/>
    <w:rsid w:val="009C64D3"/>
    <w:rsid w:val="009C68F1"/>
    <w:rsid w:val="009C729E"/>
    <w:rsid w:val="009C7E45"/>
    <w:rsid w:val="009C7F4D"/>
    <w:rsid w:val="009D0F99"/>
    <w:rsid w:val="009D11C3"/>
    <w:rsid w:val="009D1548"/>
    <w:rsid w:val="009D1BD8"/>
    <w:rsid w:val="009D3D19"/>
    <w:rsid w:val="009D44FF"/>
    <w:rsid w:val="009D76B6"/>
    <w:rsid w:val="009D770C"/>
    <w:rsid w:val="009D79FD"/>
    <w:rsid w:val="009E0DE4"/>
    <w:rsid w:val="009E112C"/>
    <w:rsid w:val="009E16F2"/>
    <w:rsid w:val="009E20A6"/>
    <w:rsid w:val="009E2115"/>
    <w:rsid w:val="009E28A4"/>
    <w:rsid w:val="009E4D0C"/>
    <w:rsid w:val="009E7BE0"/>
    <w:rsid w:val="009E7C08"/>
    <w:rsid w:val="009E7CE9"/>
    <w:rsid w:val="009F0646"/>
    <w:rsid w:val="009F09BF"/>
    <w:rsid w:val="009F1C78"/>
    <w:rsid w:val="009F1FC5"/>
    <w:rsid w:val="009F215F"/>
    <w:rsid w:val="009F33E7"/>
    <w:rsid w:val="009F5D11"/>
    <w:rsid w:val="00A00F14"/>
    <w:rsid w:val="00A0109F"/>
    <w:rsid w:val="00A0194B"/>
    <w:rsid w:val="00A02BDB"/>
    <w:rsid w:val="00A03D61"/>
    <w:rsid w:val="00A06D33"/>
    <w:rsid w:val="00A0740A"/>
    <w:rsid w:val="00A076C3"/>
    <w:rsid w:val="00A07786"/>
    <w:rsid w:val="00A1009B"/>
    <w:rsid w:val="00A10C08"/>
    <w:rsid w:val="00A10DC1"/>
    <w:rsid w:val="00A11D5F"/>
    <w:rsid w:val="00A11D9C"/>
    <w:rsid w:val="00A126C0"/>
    <w:rsid w:val="00A129B4"/>
    <w:rsid w:val="00A1478E"/>
    <w:rsid w:val="00A16B27"/>
    <w:rsid w:val="00A173E9"/>
    <w:rsid w:val="00A20D4F"/>
    <w:rsid w:val="00A21290"/>
    <w:rsid w:val="00A22680"/>
    <w:rsid w:val="00A22E64"/>
    <w:rsid w:val="00A234CF"/>
    <w:rsid w:val="00A23780"/>
    <w:rsid w:val="00A24D38"/>
    <w:rsid w:val="00A25B8B"/>
    <w:rsid w:val="00A2610C"/>
    <w:rsid w:val="00A26C01"/>
    <w:rsid w:val="00A3065F"/>
    <w:rsid w:val="00A309BE"/>
    <w:rsid w:val="00A322B5"/>
    <w:rsid w:val="00A32C3B"/>
    <w:rsid w:val="00A33B5E"/>
    <w:rsid w:val="00A34CFE"/>
    <w:rsid w:val="00A436BD"/>
    <w:rsid w:val="00A447AD"/>
    <w:rsid w:val="00A4508E"/>
    <w:rsid w:val="00A4534D"/>
    <w:rsid w:val="00A46A8B"/>
    <w:rsid w:val="00A478AF"/>
    <w:rsid w:val="00A47E36"/>
    <w:rsid w:val="00A500F1"/>
    <w:rsid w:val="00A50B5A"/>
    <w:rsid w:val="00A511A1"/>
    <w:rsid w:val="00A51980"/>
    <w:rsid w:val="00A52831"/>
    <w:rsid w:val="00A54ED5"/>
    <w:rsid w:val="00A56150"/>
    <w:rsid w:val="00A56329"/>
    <w:rsid w:val="00A5646B"/>
    <w:rsid w:val="00A61168"/>
    <w:rsid w:val="00A611B2"/>
    <w:rsid w:val="00A621E4"/>
    <w:rsid w:val="00A6286E"/>
    <w:rsid w:val="00A63701"/>
    <w:rsid w:val="00A6422C"/>
    <w:rsid w:val="00A64B88"/>
    <w:rsid w:val="00A64CC9"/>
    <w:rsid w:val="00A66266"/>
    <w:rsid w:val="00A66B5A"/>
    <w:rsid w:val="00A670A4"/>
    <w:rsid w:val="00A677AB"/>
    <w:rsid w:val="00A67EB7"/>
    <w:rsid w:val="00A7108C"/>
    <w:rsid w:val="00A71DCE"/>
    <w:rsid w:val="00A7232C"/>
    <w:rsid w:val="00A729D4"/>
    <w:rsid w:val="00A73C8B"/>
    <w:rsid w:val="00A746AE"/>
    <w:rsid w:val="00A76960"/>
    <w:rsid w:val="00A7720A"/>
    <w:rsid w:val="00A77C8A"/>
    <w:rsid w:val="00A80683"/>
    <w:rsid w:val="00A82827"/>
    <w:rsid w:val="00A865E8"/>
    <w:rsid w:val="00A86F20"/>
    <w:rsid w:val="00A9000C"/>
    <w:rsid w:val="00A909ED"/>
    <w:rsid w:val="00A92B38"/>
    <w:rsid w:val="00A9310F"/>
    <w:rsid w:val="00A936F4"/>
    <w:rsid w:val="00A94CF0"/>
    <w:rsid w:val="00A952F5"/>
    <w:rsid w:val="00A97B37"/>
    <w:rsid w:val="00AA0C85"/>
    <w:rsid w:val="00AA4A2D"/>
    <w:rsid w:val="00AA6AC0"/>
    <w:rsid w:val="00AA7B2B"/>
    <w:rsid w:val="00AB0E9A"/>
    <w:rsid w:val="00AB2073"/>
    <w:rsid w:val="00AB2375"/>
    <w:rsid w:val="00AB5681"/>
    <w:rsid w:val="00AB75C9"/>
    <w:rsid w:val="00AC0CA4"/>
    <w:rsid w:val="00AC0CED"/>
    <w:rsid w:val="00AC0FC6"/>
    <w:rsid w:val="00AC116D"/>
    <w:rsid w:val="00AC21B2"/>
    <w:rsid w:val="00AC32E0"/>
    <w:rsid w:val="00AD1400"/>
    <w:rsid w:val="00AD2E5D"/>
    <w:rsid w:val="00AD3544"/>
    <w:rsid w:val="00AD3B3C"/>
    <w:rsid w:val="00AD6FAF"/>
    <w:rsid w:val="00AD70FD"/>
    <w:rsid w:val="00AE07A9"/>
    <w:rsid w:val="00AE12C4"/>
    <w:rsid w:val="00AE2691"/>
    <w:rsid w:val="00AE2FEF"/>
    <w:rsid w:val="00AE5199"/>
    <w:rsid w:val="00AE7521"/>
    <w:rsid w:val="00AF16AB"/>
    <w:rsid w:val="00AF1985"/>
    <w:rsid w:val="00AF3547"/>
    <w:rsid w:val="00AF5063"/>
    <w:rsid w:val="00B002D2"/>
    <w:rsid w:val="00B00B0D"/>
    <w:rsid w:val="00B04946"/>
    <w:rsid w:val="00B04C22"/>
    <w:rsid w:val="00B050EF"/>
    <w:rsid w:val="00B058B4"/>
    <w:rsid w:val="00B05D3F"/>
    <w:rsid w:val="00B1076C"/>
    <w:rsid w:val="00B12D79"/>
    <w:rsid w:val="00B133A6"/>
    <w:rsid w:val="00B1398B"/>
    <w:rsid w:val="00B13AB5"/>
    <w:rsid w:val="00B1452B"/>
    <w:rsid w:val="00B14CBC"/>
    <w:rsid w:val="00B14F9E"/>
    <w:rsid w:val="00B16C57"/>
    <w:rsid w:val="00B21025"/>
    <w:rsid w:val="00B22F03"/>
    <w:rsid w:val="00B23A8F"/>
    <w:rsid w:val="00B23D71"/>
    <w:rsid w:val="00B249C8"/>
    <w:rsid w:val="00B258DF"/>
    <w:rsid w:val="00B301D8"/>
    <w:rsid w:val="00B303FB"/>
    <w:rsid w:val="00B30F6B"/>
    <w:rsid w:val="00B30F7F"/>
    <w:rsid w:val="00B32753"/>
    <w:rsid w:val="00B340B5"/>
    <w:rsid w:val="00B34B68"/>
    <w:rsid w:val="00B3527E"/>
    <w:rsid w:val="00B37138"/>
    <w:rsid w:val="00B37A52"/>
    <w:rsid w:val="00B40833"/>
    <w:rsid w:val="00B41AC4"/>
    <w:rsid w:val="00B42A1E"/>
    <w:rsid w:val="00B438B9"/>
    <w:rsid w:val="00B444B2"/>
    <w:rsid w:val="00B46C97"/>
    <w:rsid w:val="00B46F03"/>
    <w:rsid w:val="00B505DA"/>
    <w:rsid w:val="00B512E9"/>
    <w:rsid w:val="00B51F36"/>
    <w:rsid w:val="00B53C6A"/>
    <w:rsid w:val="00B601A5"/>
    <w:rsid w:val="00B61CF6"/>
    <w:rsid w:val="00B63017"/>
    <w:rsid w:val="00B64FAD"/>
    <w:rsid w:val="00B658EF"/>
    <w:rsid w:val="00B664BF"/>
    <w:rsid w:val="00B67523"/>
    <w:rsid w:val="00B705E0"/>
    <w:rsid w:val="00B71363"/>
    <w:rsid w:val="00B71D40"/>
    <w:rsid w:val="00B720A8"/>
    <w:rsid w:val="00B731F8"/>
    <w:rsid w:val="00B754A2"/>
    <w:rsid w:val="00B757B1"/>
    <w:rsid w:val="00B757E5"/>
    <w:rsid w:val="00B7652F"/>
    <w:rsid w:val="00B76ADC"/>
    <w:rsid w:val="00B779A6"/>
    <w:rsid w:val="00B77EEA"/>
    <w:rsid w:val="00B806EC"/>
    <w:rsid w:val="00B8143A"/>
    <w:rsid w:val="00B8215F"/>
    <w:rsid w:val="00B82718"/>
    <w:rsid w:val="00B83EC9"/>
    <w:rsid w:val="00B84462"/>
    <w:rsid w:val="00B86993"/>
    <w:rsid w:val="00B87818"/>
    <w:rsid w:val="00B90185"/>
    <w:rsid w:val="00B90B66"/>
    <w:rsid w:val="00B91E62"/>
    <w:rsid w:val="00B9438F"/>
    <w:rsid w:val="00B94A17"/>
    <w:rsid w:val="00B975CF"/>
    <w:rsid w:val="00B97613"/>
    <w:rsid w:val="00BA068F"/>
    <w:rsid w:val="00BA0975"/>
    <w:rsid w:val="00BA168C"/>
    <w:rsid w:val="00BA3D39"/>
    <w:rsid w:val="00BA3F2E"/>
    <w:rsid w:val="00BA3F82"/>
    <w:rsid w:val="00BA4152"/>
    <w:rsid w:val="00BA5D67"/>
    <w:rsid w:val="00BA662C"/>
    <w:rsid w:val="00BA6E3D"/>
    <w:rsid w:val="00BA7215"/>
    <w:rsid w:val="00BB09A4"/>
    <w:rsid w:val="00BB3DDE"/>
    <w:rsid w:val="00BB413B"/>
    <w:rsid w:val="00BB50D6"/>
    <w:rsid w:val="00BB549F"/>
    <w:rsid w:val="00BB68F2"/>
    <w:rsid w:val="00BB69B2"/>
    <w:rsid w:val="00BC0EF7"/>
    <w:rsid w:val="00BC4F30"/>
    <w:rsid w:val="00BC6F1C"/>
    <w:rsid w:val="00BD07B9"/>
    <w:rsid w:val="00BD12AD"/>
    <w:rsid w:val="00BD25FE"/>
    <w:rsid w:val="00BD277F"/>
    <w:rsid w:val="00BD419E"/>
    <w:rsid w:val="00BD44DE"/>
    <w:rsid w:val="00BD767D"/>
    <w:rsid w:val="00BE01FF"/>
    <w:rsid w:val="00BE1536"/>
    <w:rsid w:val="00BE36F9"/>
    <w:rsid w:val="00BE47CD"/>
    <w:rsid w:val="00BE49FE"/>
    <w:rsid w:val="00BE5558"/>
    <w:rsid w:val="00BE7288"/>
    <w:rsid w:val="00BE7ECD"/>
    <w:rsid w:val="00BF0D4D"/>
    <w:rsid w:val="00BF3FF6"/>
    <w:rsid w:val="00BF5490"/>
    <w:rsid w:val="00BF6036"/>
    <w:rsid w:val="00BF7FEB"/>
    <w:rsid w:val="00C006B3"/>
    <w:rsid w:val="00C01357"/>
    <w:rsid w:val="00C01629"/>
    <w:rsid w:val="00C0259E"/>
    <w:rsid w:val="00C02BD4"/>
    <w:rsid w:val="00C0382C"/>
    <w:rsid w:val="00C038A4"/>
    <w:rsid w:val="00C047E3"/>
    <w:rsid w:val="00C05019"/>
    <w:rsid w:val="00C063DC"/>
    <w:rsid w:val="00C06915"/>
    <w:rsid w:val="00C10484"/>
    <w:rsid w:val="00C107E8"/>
    <w:rsid w:val="00C13A91"/>
    <w:rsid w:val="00C163FA"/>
    <w:rsid w:val="00C16AE2"/>
    <w:rsid w:val="00C20047"/>
    <w:rsid w:val="00C20382"/>
    <w:rsid w:val="00C21584"/>
    <w:rsid w:val="00C2251C"/>
    <w:rsid w:val="00C22749"/>
    <w:rsid w:val="00C24255"/>
    <w:rsid w:val="00C24D44"/>
    <w:rsid w:val="00C250CA"/>
    <w:rsid w:val="00C260D5"/>
    <w:rsid w:val="00C273B5"/>
    <w:rsid w:val="00C27AEB"/>
    <w:rsid w:val="00C27BBC"/>
    <w:rsid w:val="00C308EC"/>
    <w:rsid w:val="00C30AB3"/>
    <w:rsid w:val="00C32A87"/>
    <w:rsid w:val="00C32ED3"/>
    <w:rsid w:val="00C33865"/>
    <w:rsid w:val="00C36882"/>
    <w:rsid w:val="00C406D6"/>
    <w:rsid w:val="00C42767"/>
    <w:rsid w:val="00C44790"/>
    <w:rsid w:val="00C46269"/>
    <w:rsid w:val="00C463FF"/>
    <w:rsid w:val="00C50A89"/>
    <w:rsid w:val="00C52B99"/>
    <w:rsid w:val="00C55378"/>
    <w:rsid w:val="00C60463"/>
    <w:rsid w:val="00C61011"/>
    <w:rsid w:val="00C637B7"/>
    <w:rsid w:val="00C64B0D"/>
    <w:rsid w:val="00C66026"/>
    <w:rsid w:val="00C67517"/>
    <w:rsid w:val="00C70F3C"/>
    <w:rsid w:val="00C70F89"/>
    <w:rsid w:val="00C71902"/>
    <w:rsid w:val="00C734B9"/>
    <w:rsid w:val="00C741CF"/>
    <w:rsid w:val="00C7573D"/>
    <w:rsid w:val="00C75BF3"/>
    <w:rsid w:val="00C75EE6"/>
    <w:rsid w:val="00C76E8B"/>
    <w:rsid w:val="00C77BF0"/>
    <w:rsid w:val="00C8259F"/>
    <w:rsid w:val="00C844BD"/>
    <w:rsid w:val="00C85642"/>
    <w:rsid w:val="00C85F93"/>
    <w:rsid w:val="00C907D6"/>
    <w:rsid w:val="00C90E81"/>
    <w:rsid w:val="00C90EED"/>
    <w:rsid w:val="00C91085"/>
    <w:rsid w:val="00C91BDE"/>
    <w:rsid w:val="00C9270E"/>
    <w:rsid w:val="00C9372A"/>
    <w:rsid w:val="00C950BE"/>
    <w:rsid w:val="00C96030"/>
    <w:rsid w:val="00C9605F"/>
    <w:rsid w:val="00C96A30"/>
    <w:rsid w:val="00CA02DB"/>
    <w:rsid w:val="00CA17B7"/>
    <w:rsid w:val="00CA250D"/>
    <w:rsid w:val="00CA401E"/>
    <w:rsid w:val="00CA4075"/>
    <w:rsid w:val="00CA5E8C"/>
    <w:rsid w:val="00CA683E"/>
    <w:rsid w:val="00CB038C"/>
    <w:rsid w:val="00CB194A"/>
    <w:rsid w:val="00CB1C02"/>
    <w:rsid w:val="00CB76E4"/>
    <w:rsid w:val="00CC06D9"/>
    <w:rsid w:val="00CC278F"/>
    <w:rsid w:val="00CC2AAB"/>
    <w:rsid w:val="00CC3729"/>
    <w:rsid w:val="00CC4FFF"/>
    <w:rsid w:val="00CC66F1"/>
    <w:rsid w:val="00CC6A08"/>
    <w:rsid w:val="00CC6D6D"/>
    <w:rsid w:val="00CC75F6"/>
    <w:rsid w:val="00CC7622"/>
    <w:rsid w:val="00CC7F5E"/>
    <w:rsid w:val="00CD0D7F"/>
    <w:rsid w:val="00CD20BF"/>
    <w:rsid w:val="00CD31C0"/>
    <w:rsid w:val="00CD404D"/>
    <w:rsid w:val="00CD4775"/>
    <w:rsid w:val="00CD4936"/>
    <w:rsid w:val="00CD4A47"/>
    <w:rsid w:val="00CD68BB"/>
    <w:rsid w:val="00CD6AAE"/>
    <w:rsid w:val="00CD7490"/>
    <w:rsid w:val="00CE025B"/>
    <w:rsid w:val="00CE0299"/>
    <w:rsid w:val="00CE0621"/>
    <w:rsid w:val="00CE10EE"/>
    <w:rsid w:val="00CE3463"/>
    <w:rsid w:val="00CE376D"/>
    <w:rsid w:val="00CE51C5"/>
    <w:rsid w:val="00CE52A5"/>
    <w:rsid w:val="00CE5C42"/>
    <w:rsid w:val="00CE6424"/>
    <w:rsid w:val="00CE6781"/>
    <w:rsid w:val="00CE6C02"/>
    <w:rsid w:val="00CE7715"/>
    <w:rsid w:val="00CF0B4A"/>
    <w:rsid w:val="00CF13D8"/>
    <w:rsid w:val="00CF14F0"/>
    <w:rsid w:val="00CF332A"/>
    <w:rsid w:val="00CF3C3B"/>
    <w:rsid w:val="00CF40ED"/>
    <w:rsid w:val="00CF4CA5"/>
    <w:rsid w:val="00D001AC"/>
    <w:rsid w:val="00D00CF9"/>
    <w:rsid w:val="00D00E4D"/>
    <w:rsid w:val="00D02432"/>
    <w:rsid w:val="00D033D2"/>
    <w:rsid w:val="00D0451F"/>
    <w:rsid w:val="00D059F6"/>
    <w:rsid w:val="00D0635A"/>
    <w:rsid w:val="00D06872"/>
    <w:rsid w:val="00D074C3"/>
    <w:rsid w:val="00D10191"/>
    <w:rsid w:val="00D1060A"/>
    <w:rsid w:val="00D13840"/>
    <w:rsid w:val="00D1461A"/>
    <w:rsid w:val="00D14AEF"/>
    <w:rsid w:val="00D179E1"/>
    <w:rsid w:val="00D200D3"/>
    <w:rsid w:val="00D20BCA"/>
    <w:rsid w:val="00D2275E"/>
    <w:rsid w:val="00D22ADE"/>
    <w:rsid w:val="00D2317C"/>
    <w:rsid w:val="00D23ACD"/>
    <w:rsid w:val="00D269E8"/>
    <w:rsid w:val="00D26EEA"/>
    <w:rsid w:val="00D2734B"/>
    <w:rsid w:val="00D3023C"/>
    <w:rsid w:val="00D30685"/>
    <w:rsid w:val="00D32785"/>
    <w:rsid w:val="00D336B4"/>
    <w:rsid w:val="00D33F7B"/>
    <w:rsid w:val="00D34437"/>
    <w:rsid w:val="00D3535E"/>
    <w:rsid w:val="00D357AE"/>
    <w:rsid w:val="00D35E1F"/>
    <w:rsid w:val="00D36095"/>
    <w:rsid w:val="00D367F4"/>
    <w:rsid w:val="00D42392"/>
    <w:rsid w:val="00D4256A"/>
    <w:rsid w:val="00D42616"/>
    <w:rsid w:val="00D436BF"/>
    <w:rsid w:val="00D44F7B"/>
    <w:rsid w:val="00D45559"/>
    <w:rsid w:val="00D47C56"/>
    <w:rsid w:val="00D47E48"/>
    <w:rsid w:val="00D50F1C"/>
    <w:rsid w:val="00D51617"/>
    <w:rsid w:val="00D57554"/>
    <w:rsid w:val="00D57C38"/>
    <w:rsid w:val="00D57C9D"/>
    <w:rsid w:val="00D600A5"/>
    <w:rsid w:val="00D607F9"/>
    <w:rsid w:val="00D62276"/>
    <w:rsid w:val="00D670C6"/>
    <w:rsid w:val="00D7056F"/>
    <w:rsid w:val="00D7158C"/>
    <w:rsid w:val="00D72203"/>
    <w:rsid w:val="00D726E3"/>
    <w:rsid w:val="00D72B82"/>
    <w:rsid w:val="00D736DD"/>
    <w:rsid w:val="00D741E0"/>
    <w:rsid w:val="00D75653"/>
    <w:rsid w:val="00D759C5"/>
    <w:rsid w:val="00D75B26"/>
    <w:rsid w:val="00D75D5B"/>
    <w:rsid w:val="00D76CC7"/>
    <w:rsid w:val="00D77787"/>
    <w:rsid w:val="00D77AD6"/>
    <w:rsid w:val="00D800AF"/>
    <w:rsid w:val="00D806C9"/>
    <w:rsid w:val="00D81375"/>
    <w:rsid w:val="00D815D4"/>
    <w:rsid w:val="00D81687"/>
    <w:rsid w:val="00D816DE"/>
    <w:rsid w:val="00D8235E"/>
    <w:rsid w:val="00D83648"/>
    <w:rsid w:val="00D839B0"/>
    <w:rsid w:val="00D83C8B"/>
    <w:rsid w:val="00D83D3A"/>
    <w:rsid w:val="00D85C02"/>
    <w:rsid w:val="00D92CD2"/>
    <w:rsid w:val="00D94F29"/>
    <w:rsid w:val="00D9576D"/>
    <w:rsid w:val="00D96A6A"/>
    <w:rsid w:val="00DA1191"/>
    <w:rsid w:val="00DA1DAF"/>
    <w:rsid w:val="00DA28BF"/>
    <w:rsid w:val="00DA2A57"/>
    <w:rsid w:val="00DA2C93"/>
    <w:rsid w:val="00DA5C28"/>
    <w:rsid w:val="00DA6116"/>
    <w:rsid w:val="00DA7702"/>
    <w:rsid w:val="00DB161E"/>
    <w:rsid w:val="00DB2E60"/>
    <w:rsid w:val="00DB46F0"/>
    <w:rsid w:val="00DB7651"/>
    <w:rsid w:val="00DC21EB"/>
    <w:rsid w:val="00DC2222"/>
    <w:rsid w:val="00DC2AAE"/>
    <w:rsid w:val="00DC38CA"/>
    <w:rsid w:val="00DC3E3C"/>
    <w:rsid w:val="00DC481F"/>
    <w:rsid w:val="00DC59D3"/>
    <w:rsid w:val="00DC7660"/>
    <w:rsid w:val="00DC7EFE"/>
    <w:rsid w:val="00DD1453"/>
    <w:rsid w:val="00DD2418"/>
    <w:rsid w:val="00DD2CA0"/>
    <w:rsid w:val="00DE0C7D"/>
    <w:rsid w:val="00DE3B24"/>
    <w:rsid w:val="00DE46C5"/>
    <w:rsid w:val="00DE52BE"/>
    <w:rsid w:val="00DE5363"/>
    <w:rsid w:val="00DE5DAD"/>
    <w:rsid w:val="00DE7B54"/>
    <w:rsid w:val="00DF00E0"/>
    <w:rsid w:val="00DF031B"/>
    <w:rsid w:val="00DF0ED4"/>
    <w:rsid w:val="00DF1BC8"/>
    <w:rsid w:val="00DF2B46"/>
    <w:rsid w:val="00DF363B"/>
    <w:rsid w:val="00DF5959"/>
    <w:rsid w:val="00DF651E"/>
    <w:rsid w:val="00E0092C"/>
    <w:rsid w:val="00E015C3"/>
    <w:rsid w:val="00E018BD"/>
    <w:rsid w:val="00E018EF"/>
    <w:rsid w:val="00E0414D"/>
    <w:rsid w:val="00E047EB"/>
    <w:rsid w:val="00E049A7"/>
    <w:rsid w:val="00E05758"/>
    <w:rsid w:val="00E0635C"/>
    <w:rsid w:val="00E07A3D"/>
    <w:rsid w:val="00E10E67"/>
    <w:rsid w:val="00E128A6"/>
    <w:rsid w:val="00E15700"/>
    <w:rsid w:val="00E1745A"/>
    <w:rsid w:val="00E20866"/>
    <w:rsid w:val="00E20CBB"/>
    <w:rsid w:val="00E23002"/>
    <w:rsid w:val="00E23D45"/>
    <w:rsid w:val="00E24683"/>
    <w:rsid w:val="00E25818"/>
    <w:rsid w:val="00E26B48"/>
    <w:rsid w:val="00E26DA2"/>
    <w:rsid w:val="00E27A66"/>
    <w:rsid w:val="00E27B71"/>
    <w:rsid w:val="00E3193D"/>
    <w:rsid w:val="00E35759"/>
    <w:rsid w:val="00E3632D"/>
    <w:rsid w:val="00E36A0D"/>
    <w:rsid w:val="00E36A4B"/>
    <w:rsid w:val="00E405F8"/>
    <w:rsid w:val="00E42011"/>
    <w:rsid w:val="00E43883"/>
    <w:rsid w:val="00E45789"/>
    <w:rsid w:val="00E46951"/>
    <w:rsid w:val="00E46EC2"/>
    <w:rsid w:val="00E50749"/>
    <w:rsid w:val="00E508BE"/>
    <w:rsid w:val="00E5091D"/>
    <w:rsid w:val="00E5262F"/>
    <w:rsid w:val="00E53352"/>
    <w:rsid w:val="00E55972"/>
    <w:rsid w:val="00E55E0E"/>
    <w:rsid w:val="00E56398"/>
    <w:rsid w:val="00E61FC6"/>
    <w:rsid w:val="00E62253"/>
    <w:rsid w:val="00E62F3A"/>
    <w:rsid w:val="00E63251"/>
    <w:rsid w:val="00E63569"/>
    <w:rsid w:val="00E640C2"/>
    <w:rsid w:val="00E67436"/>
    <w:rsid w:val="00E72B61"/>
    <w:rsid w:val="00E741FA"/>
    <w:rsid w:val="00E741FF"/>
    <w:rsid w:val="00E74CC3"/>
    <w:rsid w:val="00E770EF"/>
    <w:rsid w:val="00E807C7"/>
    <w:rsid w:val="00E80E69"/>
    <w:rsid w:val="00E80F8B"/>
    <w:rsid w:val="00E839FD"/>
    <w:rsid w:val="00E84651"/>
    <w:rsid w:val="00E85C2F"/>
    <w:rsid w:val="00E86402"/>
    <w:rsid w:val="00E86F53"/>
    <w:rsid w:val="00E90459"/>
    <w:rsid w:val="00E913FD"/>
    <w:rsid w:val="00E92D8E"/>
    <w:rsid w:val="00E94111"/>
    <w:rsid w:val="00E94A03"/>
    <w:rsid w:val="00E95488"/>
    <w:rsid w:val="00E95C0E"/>
    <w:rsid w:val="00E96A4D"/>
    <w:rsid w:val="00EA042F"/>
    <w:rsid w:val="00EA12C4"/>
    <w:rsid w:val="00EA224D"/>
    <w:rsid w:val="00EA5B59"/>
    <w:rsid w:val="00EA5EDB"/>
    <w:rsid w:val="00EA7263"/>
    <w:rsid w:val="00EB0A1E"/>
    <w:rsid w:val="00EB10FF"/>
    <w:rsid w:val="00EB148B"/>
    <w:rsid w:val="00EB42F1"/>
    <w:rsid w:val="00EB430D"/>
    <w:rsid w:val="00EB65E4"/>
    <w:rsid w:val="00EC05BE"/>
    <w:rsid w:val="00EC3476"/>
    <w:rsid w:val="00EC38DA"/>
    <w:rsid w:val="00EC4915"/>
    <w:rsid w:val="00EC49FA"/>
    <w:rsid w:val="00EC4A31"/>
    <w:rsid w:val="00EC4FE2"/>
    <w:rsid w:val="00EC5A33"/>
    <w:rsid w:val="00EC7B06"/>
    <w:rsid w:val="00ED027F"/>
    <w:rsid w:val="00ED1E9C"/>
    <w:rsid w:val="00ED24A1"/>
    <w:rsid w:val="00ED3050"/>
    <w:rsid w:val="00ED7ECA"/>
    <w:rsid w:val="00EE0BE4"/>
    <w:rsid w:val="00EE0D85"/>
    <w:rsid w:val="00EE1220"/>
    <w:rsid w:val="00EE1280"/>
    <w:rsid w:val="00EE23A7"/>
    <w:rsid w:val="00EE25C4"/>
    <w:rsid w:val="00EE3107"/>
    <w:rsid w:val="00EE3260"/>
    <w:rsid w:val="00EE3380"/>
    <w:rsid w:val="00EE50F3"/>
    <w:rsid w:val="00EE5FA5"/>
    <w:rsid w:val="00EE6420"/>
    <w:rsid w:val="00EE674D"/>
    <w:rsid w:val="00EE6C27"/>
    <w:rsid w:val="00EE7E3C"/>
    <w:rsid w:val="00EF3F21"/>
    <w:rsid w:val="00EF74E3"/>
    <w:rsid w:val="00F024BE"/>
    <w:rsid w:val="00F02857"/>
    <w:rsid w:val="00F03A1A"/>
    <w:rsid w:val="00F03D28"/>
    <w:rsid w:val="00F12C8C"/>
    <w:rsid w:val="00F13533"/>
    <w:rsid w:val="00F1476C"/>
    <w:rsid w:val="00F153A3"/>
    <w:rsid w:val="00F16D24"/>
    <w:rsid w:val="00F17A33"/>
    <w:rsid w:val="00F22DF0"/>
    <w:rsid w:val="00F22F4A"/>
    <w:rsid w:val="00F24494"/>
    <w:rsid w:val="00F2794B"/>
    <w:rsid w:val="00F30B2C"/>
    <w:rsid w:val="00F31D55"/>
    <w:rsid w:val="00F32738"/>
    <w:rsid w:val="00F339FC"/>
    <w:rsid w:val="00F35F1E"/>
    <w:rsid w:val="00F37F27"/>
    <w:rsid w:val="00F4034C"/>
    <w:rsid w:val="00F43D2C"/>
    <w:rsid w:val="00F4400B"/>
    <w:rsid w:val="00F4788B"/>
    <w:rsid w:val="00F47DE0"/>
    <w:rsid w:val="00F51918"/>
    <w:rsid w:val="00F52F9B"/>
    <w:rsid w:val="00F531DD"/>
    <w:rsid w:val="00F569D5"/>
    <w:rsid w:val="00F5735F"/>
    <w:rsid w:val="00F57DBF"/>
    <w:rsid w:val="00F603D0"/>
    <w:rsid w:val="00F6332C"/>
    <w:rsid w:val="00F6370C"/>
    <w:rsid w:val="00F646F4"/>
    <w:rsid w:val="00F6491C"/>
    <w:rsid w:val="00F6509F"/>
    <w:rsid w:val="00F66567"/>
    <w:rsid w:val="00F67020"/>
    <w:rsid w:val="00F6722E"/>
    <w:rsid w:val="00F7098D"/>
    <w:rsid w:val="00F711C8"/>
    <w:rsid w:val="00F7355B"/>
    <w:rsid w:val="00F7479C"/>
    <w:rsid w:val="00F76D03"/>
    <w:rsid w:val="00F7708D"/>
    <w:rsid w:val="00F77A7F"/>
    <w:rsid w:val="00F82A56"/>
    <w:rsid w:val="00F82B02"/>
    <w:rsid w:val="00F82B62"/>
    <w:rsid w:val="00F83173"/>
    <w:rsid w:val="00F836BD"/>
    <w:rsid w:val="00F836E4"/>
    <w:rsid w:val="00F84394"/>
    <w:rsid w:val="00F8532D"/>
    <w:rsid w:val="00F85D9C"/>
    <w:rsid w:val="00F8650B"/>
    <w:rsid w:val="00F8656B"/>
    <w:rsid w:val="00F8732E"/>
    <w:rsid w:val="00F91B25"/>
    <w:rsid w:val="00F91C8F"/>
    <w:rsid w:val="00F94755"/>
    <w:rsid w:val="00F9556D"/>
    <w:rsid w:val="00FA03BD"/>
    <w:rsid w:val="00FA0F6D"/>
    <w:rsid w:val="00FA1842"/>
    <w:rsid w:val="00FA2AB4"/>
    <w:rsid w:val="00FA5F45"/>
    <w:rsid w:val="00FA6A45"/>
    <w:rsid w:val="00FA72EE"/>
    <w:rsid w:val="00FB19BD"/>
    <w:rsid w:val="00FB2FF5"/>
    <w:rsid w:val="00FB3915"/>
    <w:rsid w:val="00FB4432"/>
    <w:rsid w:val="00FB62F9"/>
    <w:rsid w:val="00FC049E"/>
    <w:rsid w:val="00FC23BC"/>
    <w:rsid w:val="00FC33A4"/>
    <w:rsid w:val="00FC3C45"/>
    <w:rsid w:val="00FC3FEB"/>
    <w:rsid w:val="00FC604E"/>
    <w:rsid w:val="00FC68E0"/>
    <w:rsid w:val="00FC7C80"/>
    <w:rsid w:val="00FD04E4"/>
    <w:rsid w:val="00FD06EB"/>
    <w:rsid w:val="00FD0F06"/>
    <w:rsid w:val="00FD2315"/>
    <w:rsid w:val="00FD2C5D"/>
    <w:rsid w:val="00FD2F85"/>
    <w:rsid w:val="00FD36C1"/>
    <w:rsid w:val="00FD6051"/>
    <w:rsid w:val="00FD66C6"/>
    <w:rsid w:val="00FD7632"/>
    <w:rsid w:val="00FD7AD5"/>
    <w:rsid w:val="00FD7C85"/>
    <w:rsid w:val="00FD7DBA"/>
    <w:rsid w:val="00FE0E17"/>
    <w:rsid w:val="00FE3C56"/>
    <w:rsid w:val="00FE3E53"/>
    <w:rsid w:val="00FE3F0C"/>
    <w:rsid w:val="00FE51A0"/>
    <w:rsid w:val="00FE726E"/>
    <w:rsid w:val="00FF0F44"/>
    <w:rsid w:val="00FF1BCC"/>
    <w:rsid w:val="00FF3826"/>
    <w:rsid w:val="00FF65FA"/>
    <w:rsid w:val="00FF6BA0"/>
    <w:rsid w:val="00FF6C5E"/>
    <w:rsid w:val="00FF7BC9"/>
    <w:rsid w:val="00FF7C83"/>
    <w:rsid w:val="019B3F0C"/>
    <w:rsid w:val="035877BC"/>
    <w:rsid w:val="04865FAD"/>
    <w:rsid w:val="053B10FD"/>
    <w:rsid w:val="06907E3C"/>
    <w:rsid w:val="06DE5B0A"/>
    <w:rsid w:val="07A93B83"/>
    <w:rsid w:val="0A6C3008"/>
    <w:rsid w:val="0BDD5FE7"/>
    <w:rsid w:val="0BFB0F56"/>
    <w:rsid w:val="0C873EE0"/>
    <w:rsid w:val="0C8C2405"/>
    <w:rsid w:val="0DC65E4C"/>
    <w:rsid w:val="0E1C6481"/>
    <w:rsid w:val="0E2D3AE7"/>
    <w:rsid w:val="0E877E2F"/>
    <w:rsid w:val="0EC10433"/>
    <w:rsid w:val="0F8019DC"/>
    <w:rsid w:val="0FD22B4C"/>
    <w:rsid w:val="115821F3"/>
    <w:rsid w:val="11F85DA6"/>
    <w:rsid w:val="12443233"/>
    <w:rsid w:val="12604C73"/>
    <w:rsid w:val="12E22467"/>
    <w:rsid w:val="135415CA"/>
    <w:rsid w:val="13B3136C"/>
    <w:rsid w:val="157C31AD"/>
    <w:rsid w:val="16C0047B"/>
    <w:rsid w:val="172B115F"/>
    <w:rsid w:val="175E528C"/>
    <w:rsid w:val="17C24B0D"/>
    <w:rsid w:val="184A7873"/>
    <w:rsid w:val="18665A9E"/>
    <w:rsid w:val="19C93156"/>
    <w:rsid w:val="19F25F21"/>
    <w:rsid w:val="1A212076"/>
    <w:rsid w:val="1A9C0E24"/>
    <w:rsid w:val="1B1F0A36"/>
    <w:rsid w:val="1B504F56"/>
    <w:rsid w:val="1BCB4F90"/>
    <w:rsid w:val="1C272CD1"/>
    <w:rsid w:val="1C8A4648"/>
    <w:rsid w:val="1E915605"/>
    <w:rsid w:val="1F9A3A9D"/>
    <w:rsid w:val="1FDA33DF"/>
    <w:rsid w:val="1FE132F3"/>
    <w:rsid w:val="204F3EE0"/>
    <w:rsid w:val="21A65D02"/>
    <w:rsid w:val="22963A11"/>
    <w:rsid w:val="237511F8"/>
    <w:rsid w:val="243F13BA"/>
    <w:rsid w:val="25A83A43"/>
    <w:rsid w:val="262F148F"/>
    <w:rsid w:val="26630E84"/>
    <w:rsid w:val="26AD7B46"/>
    <w:rsid w:val="26C22206"/>
    <w:rsid w:val="276F4B59"/>
    <w:rsid w:val="287E0498"/>
    <w:rsid w:val="28E91D15"/>
    <w:rsid w:val="29B22F8A"/>
    <w:rsid w:val="29B4708F"/>
    <w:rsid w:val="2B335719"/>
    <w:rsid w:val="2BB47571"/>
    <w:rsid w:val="2BD4237C"/>
    <w:rsid w:val="2D8F3932"/>
    <w:rsid w:val="2E0C79A7"/>
    <w:rsid w:val="313145EE"/>
    <w:rsid w:val="314C2A1E"/>
    <w:rsid w:val="31F56B04"/>
    <w:rsid w:val="321E128B"/>
    <w:rsid w:val="334371B1"/>
    <w:rsid w:val="3359588A"/>
    <w:rsid w:val="337275B2"/>
    <w:rsid w:val="33C7510F"/>
    <w:rsid w:val="344853A1"/>
    <w:rsid w:val="347421CF"/>
    <w:rsid w:val="349D41D0"/>
    <w:rsid w:val="36F87D8D"/>
    <w:rsid w:val="37164986"/>
    <w:rsid w:val="37B604A4"/>
    <w:rsid w:val="386E5D0C"/>
    <w:rsid w:val="39A337FC"/>
    <w:rsid w:val="3B1E4D13"/>
    <w:rsid w:val="3D252369"/>
    <w:rsid w:val="3DB16D39"/>
    <w:rsid w:val="3DC04FB2"/>
    <w:rsid w:val="3E951C4F"/>
    <w:rsid w:val="3F8F3BF6"/>
    <w:rsid w:val="3F921634"/>
    <w:rsid w:val="3FD414BF"/>
    <w:rsid w:val="3FD71746"/>
    <w:rsid w:val="3FD86505"/>
    <w:rsid w:val="40550B79"/>
    <w:rsid w:val="41782ED7"/>
    <w:rsid w:val="41F73480"/>
    <w:rsid w:val="4217395A"/>
    <w:rsid w:val="427F45D9"/>
    <w:rsid w:val="43D92515"/>
    <w:rsid w:val="441E5C31"/>
    <w:rsid w:val="445E6FD0"/>
    <w:rsid w:val="44B71272"/>
    <w:rsid w:val="44CF3343"/>
    <w:rsid w:val="457D5862"/>
    <w:rsid w:val="45841044"/>
    <w:rsid w:val="45987343"/>
    <w:rsid w:val="45AD45CC"/>
    <w:rsid w:val="45F35B1F"/>
    <w:rsid w:val="462C15D3"/>
    <w:rsid w:val="46B9565D"/>
    <w:rsid w:val="476F216D"/>
    <w:rsid w:val="48663667"/>
    <w:rsid w:val="48C24561"/>
    <w:rsid w:val="49BE403B"/>
    <w:rsid w:val="4B585877"/>
    <w:rsid w:val="4CA11752"/>
    <w:rsid w:val="4CD876AE"/>
    <w:rsid w:val="4D5A6C69"/>
    <w:rsid w:val="4EDD403F"/>
    <w:rsid w:val="4EFD1A40"/>
    <w:rsid w:val="4FCE635E"/>
    <w:rsid w:val="5000351F"/>
    <w:rsid w:val="51091DCD"/>
    <w:rsid w:val="519F2D7A"/>
    <w:rsid w:val="527C65C7"/>
    <w:rsid w:val="528627DB"/>
    <w:rsid w:val="52C24744"/>
    <w:rsid w:val="5398616E"/>
    <w:rsid w:val="542B6EEB"/>
    <w:rsid w:val="54A83D48"/>
    <w:rsid w:val="56844C89"/>
    <w:rsid w:val="56A44A81"/>
    <w:rsid w:val="573B6A63"/>
    <w:rsid w:val="57B61B10"/>
    <w:rsid w:val="580F045E"/>
    <w:rsid w:val="58137695"/>
    <w:rsid w:val="593670D9"/>
    <w:rsid w:val="59C13398"/>
    <w:rsid w:val="59FD1F3A"/>
    <w:rsid w:val="5A5B4924"/>
    <w:rsid w:val="5A8D55DA"/>
    <w:rsid w:val="5B873B56"/>
    <w:rsid w:val="5BB0042B"/>
    <w:rsid w:val="5BE43A11"/>
    <w:rsid w:val="5CFF236F"/>
    <w:rsid w:val="5DF0422B"/>
    <w:rsid w:val="5E7B02FC"/>
    <w:rsid w:val="5EAA43B7"/>
    <w:rsid w:val="5F054F74"/>
    <w:rsid w:val="5F984988"/>
    <w:rsid w:val="5FBD7ACB"/>
    <w:rsid w:val="5FD50907"/>
    <w:rsid w:val="61217AAD"/>
    <w:rsid w:val="61225EE4"/>
    <w:rsid w:val="61290EA2"/>
    <w:rsid w:val="61B601F3"/>
    <w:rsid w:val="61BC5BF8"/>
    <w:rsid w:val="62971641"/>
    <w:rsid w:val="62A547A8"/>
    <w:rsid w:val="63632365"/>
    <w:rsid w:val="636A29C6"/>
    <w:rsid w:val="640651C4"/>
    <w:rsid w:val="64964F01"/>
    <w:rsid w:val="64FF10CE"/>
    <w:rsid w:val="655364D9"/>
    <w:rsid w:val="65790A7C"/>
    <w:rsid w:val="659205D4"/>
    <w:rsid w:val="66605799"/>
    <w:rsid w:val="666362D0"/>
    <w:rsid w:val="667657B2"/>
    <w:rsid w:val="66BA7323"/>
    <w:rsid w:val="66C73ECD"/>
    <w:rsid w:val="67B8458E"/>
    <w:rsid w:val="68633E27"/>
    <w:rsid w:val="68DC3DD8"/>
    <w:rsid w:val="69325E37"/>
    <w:rsid w:val="699E3D65"/>
    <w:rsid w:val="6A3E67FA"/>
    <w:rsid w:val="6A836937"/>
    <w:rsid w:val="6B29319A"/>
    <w:rsid w:val="6B417E51"/>
    <w:rsid w:val="6B533ACD"/>
    <w:rsid w:val="6C4439E7"/>
    <w:rsid w:val="6C645C2B"/>
    <w:rsid w:val="6CE31EC3"/>
    <w:rsid w:val="6D9E6B68"/>
    <w:rsid w:val="6DFD4900"/>
    <w:rsid w:val="6E8449EA"/>
    <w:rsid w:val="6F425245"/>
    <w:rsid w:val="6F7C492A"/>
    <w:rsid w:val="6FCE3D10"/>
    <w:rsid w:val="704E739A"/>
    <w:rsid w:val="70E738A9"/>
    <w:rsid w:val="70F115E2"/>
    <w:rsid w:val="71470667"/>
    <w:rsid w:val="71686C35"/>
    <w:rsid w:val="721F33DA"/>
    <w:rsid w:val="73A62563"/>
    <w:rsid w:val="74341339"/>
    <w:rsid w:val="759A12A1"/>
    <w:rsid w:val="75D07543"/>
    <w:rsid w:val="75E04AC0"/>
    <w:rsid w:val="76F636D4"/>
    <w:rsid w:val="77FD47E9"/>
    <w:rsid w:val="78143F36"/>
    <w:rsid w:val="789D5414"/>
    <w:rsid w:val="78F764BF"/>
    <w:rsid w:val="791C3611"/>
    <w:rsid w:val="799F7497"/>
    <w:rsid w:val="7A3A4295"/>
    <w:rsid w:val="7B5D0715"/>
    <w:rsid w:val="7BA67ADF"/>
    <w:rsid w:val="7C9808F9"/>
    <w:rsid w:val="7CB47637"/>
    <w:rsid w:val="7D324DF9"/>
    <w:rsid w:val="7F4A0582"/>
    <w:rsid w:val="7F73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40" w:lineRule="atLeas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spacing w:before="340" w:after="330" w:line="576" w:lineRule="auto"/>
      <w:jc w:val="center"/>
      <w:outlineLvl w:val="0"/>
    </w:pPr>
    <w:rPr>
      <w:rFonts w:ascii="Times New Roman" w:hAnsi="Times New Roman" w:eastAsia="方正小标宋简体" w:cs="Times New Roman"/>
      <w:kern w:val="44"/>
      <w:sz w:val="44"/>
      <w:szCs w:val="24"/>
    </w:rPr>
  </w:style>
  <w:style w:type="paragraph" w:styleId="3">
    <w:name w:val="heading 2"/>
    <w:basedOn w:val="1"/>
    <w:next w:val="1"/>
    <w:link w:val="43"/>
    <w:qFormat/>
    <w:uiPriority w:val="0"/>
    <w:pPr>
      <w:keepNext/>
      <w:keepLines/>
      <w:spacing w:before="260" w:after="260" w:line="412" w:lineRule="auto"/>
      <w:jc w:val="center"/>
      <w:outlineLvl w:val="1"/>
    </w:pPr>
    <w:rPr>
      <w:rFonts w:ascii="Arial" w:hAnsi="Arial" w:eastAsia="方正小标宋简体" w:cs="Times New Roman"/>
      <w:sz w:val="28"/>
      <w:szCs w:val="24"/>
    </w:rPr>
  </w:style>
  <w:style w:type="paragraph" w:styleId="4">
    <w:name w:val="heading 3"/>
    <w:basedOn w:val="1"/>
    <w:next w:val="1"/>
    <w:link w:val="44"/>
    <w:qFormat/>
    <w:uiPriority w:val="0"/>
    <w:pPr>
      <w:keepNext/>
      <w:keepLines/>
      <w:spacing w:before="260" w:after="260" w:line="412" w:lineRule="auto"/>
      <w:ind w:firstLine="400"/>
      <w:outlineLvl w:val="2"/>
    </w:pPr>
    <w:rPr>
      <w:rFonts w:ascii="Times New Roman" w:hAnsi="Times New Roman" w:eastAsia="宋体" w:cs="Times New Roman"/>
      <w:b/>
      <w:sz w:val="32"/>
      <w:szCs w:val="24"/>
    </w:rPr>
  </w:style>
  <w:style w:type="paragraph" w:styleId="5">
    <w:name w:val="heading 4"/>
    <w:basedOn w:val="1"/>
    <w:next w:val="1"/>
    <w:link w:val="45"/>
    <w:qFormat/>
    <w:uiPriority w:val="0"/>
    <w:pPr>
      <w:keepNext/>
      <w:keepLines/>
      <w:spacing w:before="280" w:after="290" w:line="372" w:lineRule="auto"/>
      <w:ind w:firstLine="402"/>
      <w:outlineLvl w:val="3"/>
    </w:pPr>
    <w:rPr>
      <w:rFonts w:ascii="Arial" w:hAnsi="Arial" w:eastAsia="黑体" w:cs="Times New Roman"/>
      <w:b/>
      <w:sz w:val="28"/>
      <w:szCs w:val="24"/>
    </w:rPr>
  </w:style>
  <w:style w:type="paragraph" w:styleId="6">
    <w:name w:val="heading 5"/>
    <w:basedOn w:val="1"/>
    <w:next w:val="1"/>
    <w:link w:val="46"/>
    <w:qFormat/>
    <w:uiPriority w:val="0"/>
    <w:pPr>
      <w:keepNext/>
      <w:keepLines/>
      <w:spacing w:before="280" w:after="290" w:line="372" w:lineRule="auto"/>
      <w:ind w:firstLine="402"/>
      <w:outlineLvl w:val="4"/>
    </w:pPr>
    <w:rPr>
      <w:rFonts w:ascii="Times New Roman" w:hAnsi="Times New Roman" w:eastAsia="宋体" w:cs="Times New Roman"/>
      <w:b/>
      <w:sz w:val="28"/>
      <w:szCs w:val="24"/>
    </w:rPr>
  </w:style>
  <w:style w:type="paragraph" w:styleId="7">
    <w:name w:val="heading 6"/>
    <w:basedOn w:val="1"/>
    <w:next w:val="1"/>
    <w:link w:val="47"/>
    <w:qFormat/>
    <w:uiPriority w:val="0"/>
    <w:pPr>
      <w:keepNext/>
      <w:keepLines/>
      <w:spacing w:before="240" w:after="64" w:line="316" w:lineRule="auto"/>
      <w:ind w:firstLine="402"/>
      <w:outlineLvl w:val="5"/>
    </w:pPr>
    <w:rPr>
      <w:rFonts w:ascii="Arial" w:hAnsi="Arial" w:eastAsia="黑体" w:cs="Times New Roman"/>
      <w:b/>
      <w:sz w:val="24"/>
      <w:szCs w:val="24"/>
    </w:rPr>
  </w:style>
  <w:style w:type="paragraph" w:styleId="8">
    <w:name w:val="heading 7"/>
    <w:basedOn w:val="1"/>
    <w:next w:val="1"/>
    <w:link w:val="48"/>
    <w:qFormat/>
    <w:uiPriority w:val="0"/>
    <w:pPr>
      <w:keepNext/>
      <w:keepLines/>
      <w:spacing w:before="240" w:after="64" w:line="316" w:lineRule="auto"/>
      <w:ind w:firstLine="402"/>
      <w:outlineLvl w:val="6"/>
    </w:pPr>
    <w:rPr>
      <w:rFonts w:ascii="Times New Roman" w:hAnsi="Times New Roman" w:eastAsia="宋体" w:cs="Times New Roman"/>
      <w:b/>
      <w:sz w:val="24"/>
      <w:szCs w:val="24"/>
    </w:rPr>
  </w:style>
  <w:style w:type="paragraph" w:styleId="9">
    <w:name w:val="heading 8"/>
    <w:basedOn w:val="1"/>
    <w:next w:val="1"/>
    <w:link w:val="49"/>
    <w:qFormat/>
    <w:uiPriority w:val="0"/>
    <w:pPr>
      <w:keepNext/>
      <w:keepLines/>
      <w:spacing w:before="240" w:after="64" w:line="316" w:lineRule="auto"/>
      <w:ind w:firstLine="402"/>
      <w:outlineLvl w:val="7"/>
    </w:pPr>
    <w:rPr>
      <w:rFonts w:ascii="Arial" w:hAnsi="Arial" w:eastAsia="黑体" w:cs="Times New Roman"/>
      <w:sz w:val="24"/>
      <w:szCs w:val="24"/>
    </w:rPr>
  </w:style>
  <w:style w:type="paragraph" w:styleId="10">
    <w:name w:val="heading 9"/>
    <w:basedOn w:val="1"/>
    <w:next w:val="1"/>
    <w:link w:val="50"/>
    <w:qFormat/>
    <w:uiPriority w:val="0"/>
    <w:pPr>
      <w:keepNext/>
      <w:keepLines/>
      <w:spacing w:before="240" w:after="64" w:line="316" w:lineRule="auto"/>
      <w:ind w:firstLine="402"/>
      <w:outlineLvl w:val="8"/>
    </w:pPr>
    <w:rPr>
      <w:rFonts w:ascii="Arial" w:hAnsi="Arial" w:eastAsia="黑体" w:cs="Times New Roman"/>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240" w:lineRule="auto"/>
      <w:ind w:left="2520" w:leftChars="1200"/>
    </w:pPr>
    <w:rPr>
      <w:rFonts w:ascii="Times New Roman" w:hAnsi="Times New Roman" w:eastAsia="宋体" w:cs="Times New Roman"/>
      <w:szCs w:val="24"/>
    </w:rPr>
  </w:style>
  <w:style w:type="paragraph" w:styleId="12">
    <w:name w:val="Document Map"/>
    <w:basedOn w:val="1"/>
    <w:link w:val="51"/>
    <w:qFormat/>
    <w:uiPriority w:val="0"/>
    <w:pPr>
      <w:shd w:val="clear" w:color="auto" w:fill="000080"/>
      <w:spacing w:line="240" w:lineRule="auto"/>
    </w:pPr>
    <w:rPr>
      <w:rFonts w:ascii="Times New Roman" w:hAnsi="Times New Roman" w:eastAsia="宋体" w:cs="Times New Roman"/>
      <w:szCs w:val="24"/>
    </w:rPr>
  </w:style>
  <w:style w:type="paragraph" w:styleId="13">
    <w:name w:val="annotation text"/>
    <w:basedOn w:val="1"/>
    <w:link w:val="53"/>
    <w:qFormat/>
    <w:uiPriority w:val="0"/>
    <w:pPr>
      <w:spacing w:line="240" w:lineRule="auto"/>
      <w:jc w:val="left"/>
    </w:pPr>
    <w:rPr>
      <w:szCs w:val="24"/>
    </w:rPr>
  </w:style>
  <w:style w:type="paragraph" w:styleId="14">
    <w:name w:val="toc 5"/>
    <w:basedOn w:val="1"/>
    <w:next w:val="1"/>
    <w:qFormat/>
    <w:uiPriority w:val="0"/>
    <w:pPr>
      <w:spacing w:line="240" w:lineRule="auto"/>
      <w:ind w:left="1680" w:leftChars="800"/>
    </w:pPr>
    <w:rPr>
      <w:rFonts w:ascii="Times New Roman" w:hAnsi="Times New Roman" w:eastAsia="宋体" w:cs="Times New Roman"/>
      <w:szCs w:val="24"/>
    </w:rPr>
  </w:style>
  <w:style w:type="paragraph" w:styleId="15">
    <w:name w:val="toc 3"/>
    <w:basedOn w:val="1"/>
    <w:next w:val="1"/>
    <w:qFormat/>
    <w:uiPriority w:val="39"/>
    <w:pPr>
      <w:spacing w:line="240" w:lineRule="auto"/>
      <w:ind w:left="840" w:leftChars="400"/>
    </w:pPr>
    <w:rPr>
      <w:rFonts w:ascii="Times New Roman" w:hAnsi="Times New Roman" w:eastAsia="宋体" w:cs="Times New Roman"/>
      <w:szCs w:val="24"/>
    </w:rPr>
  </w:style>
  <w:style w:type="paragraph" w:styleId="16">
    <w:name w:val="Plain Text"/>
    <w:basedOn w:val="1"/>
    <w:link w:val="55"/>
    <w:qFormat/>
    <w:uiPriority w:val="0"/>
    <w:pPr>
      <w:spacing w:line="240" w:lineRule="auto"/>
    </w:pPr>
    <w:rPr>
      <w:rFonts w:ascii="宋体" w:hAnsi="Courier New" w:cs="Courier New"/>
      <w:szCs w:val="21"/>
    </w:rPr>
  </w:style>
  <w:style w:type="paragraph" w:styleId="17">
    <w:name w:val="toc 8"/>
    <w:basedOn w:val="1"/>
    <w:next w:val="1"/>
    <w:qFormat/>
    <w:uiPriority w:val="0"/>
    <w:pPr>
      <w:spacing w:line="240" w:lineRule="auto"/>
      <w:ind w:left="2940" w:leftChars="1400"/>
    </w:pPr>
    <w:rPr>
      <w:rFonts w:ascii="Times New Roman" w:hAnsi="Times New Roman" w:eastAsia="宋体" w:cs="Times New Roman"/>
      <w:szCs w:val="24"/>
    </w:rPr>
  </w:style>
  <w:style w:type="paragraph" w:styleId="18">
    <w:name w:val="Date"/>
    <w:basedOn w:val="1"/>
    <w:next w:val="1"/>
    <w:link w:val="57"/>
    <w:qFormat/>
    <w:uiPriority w:val="0"/>
    <w:pPr>
      <w:spacing w:line="240" w:lineRule="auto"/>
      <w:ind w:left="100" w:leftChars="2500"/>
    </w:pPr>
    <w:rPr>
      <w:szCs w:val="24"/>
    </w:rPr>
  </w:style>
  <w:style w:type="paragraph" w:styleId="19">
    <w:name w:val="Balloon Text"/>
    <w:basedOn w:val="1"/>
    <w:link w:val="41"/>
    <w:unhideWhenUsed/>
    <w:qFormat/>
    <w:uiPriority w:val="0"/>
    <w:pPr>
      <w:spacing w:line="240" w:lineRule="auto"/>
    </w:pPr>
    <w:rPr>
      <w:sz w:val="18"/>
      <w:szCs w:val="18"/>
    </w:rPr>
  </w:style>
  <w:style w:type="paragraph" w:styleId="20">
    <w:name w:val="footer"/>
    <w:basedOn w:val="1"/>
    <w:link w:val="38"/>
    <w:unhideWhenUsed/>
    <w:qFormat/>
    <w:uiPriority w:val="0"/>
    <w:pPr>
      <w:tabs>
        <w:tab w:val="center" w:pos="4153"/>
        <w:tab w:val="right" w:pos="8306"/>
      </w:tabs>
      <w:snapToGrid w:val="0"/>
      <w:spacing w:line="240" w:lineRule="atLeast"/>
      <w:jc w:val="left"/>
    </w:pPr>
    <w:rPr>
      <w:sz w:val="18"/>
      <w:szCs w:val="18"/>
    </w:rPr>
  </w:style>
  <w:style w:type="paragraph" w:styleId="21">
    <w:name w:val="header"/>
    <w:basedOn w:val="1"/>
    <w:link w:val="37"/>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qFormat/>
    <w:uiPriority w:val="39"/>
    <w:pPr>
      <w:spacing w:line="240" w:lineRule="auto"/>
    </w:pPr>
    <w:rPr>
      <w:rFonts w:ascii="Times New Roman" w:hAnsi="Times New Roman" w:eastAsia="宋体" w:cs="Times New Roman"/>
      <w:szCs w:val="24"/>
    </w:rPr>
  </w:style>
  <w:style w:type="paragraph" w:styleId="23">
    <w:name w:val="toc 4"/>
    <w:basedOn w:val="1"/>
    <w:next w:val="1"/>
    <w:qFormat/>
    <w:uiPriority w:val="0"/>
    <w:pPr>
      <w:spacing w:line="240" w:lineRule="auto"/>
      <w:ind w:left="1260" w:leftChars="600"/>
    </w:pPr>
    <w:rPr>
      <w:rFonts w:ascii="Times New Roman" w:hAnsi="Times New Roman" w:eastAsia="宋体" w:cs="Times New Roman"/>
      <w:szCs w:val="24"/>
    </w:rPr>
  </w:style>
  <w:style w:type="paragraph" w:styleId="24">
    <w:name w:val="toc 6"/>
    <w:basedOn w:val="1"/>
    <w:next w:val="1"/>
    <w:qFormat/>
    <w:uiPriority w:val="0"/>
    <w:pPr>
      <w:spacing w:line="240" w:lineRule="auto"/>
      <w:ind w:left="2100" w:leftChars="1000"/>
    </w:pPr>
    <w:rPr>
      <w:rFonts w:ascii="Times New Roman" w:hAnsi="Times New Roman" w:eastAsia="宋体" w:cs="Times New Roman"/>
      <w:szCs w:val="24"/>
    </w:rPr>
  </w:style>
  <w:style w:type="paragraph" w:styleId="25">
    <w:name w:val="toc 2"/>
    <w:basedOn w:val="1"/>
    <w:next w:val="1"/>
    <w:qFormat/>
    <w:uiPriority w:val="39"/>
    <w:pPr>
      <w:spacing w:line="240" w:lineRule="auto"/>
      <w:ind w:left="420" w:leftChars="200"/>
    </w:pPr>
    <w:rPr>
      <w:rFonts w:ascii="Times New Roman" w:hAnsi="Times New Roman" w:eastAsia="宋体" w:cs="Times New Roman"/>
      <w:szCs w:val="24"/>
    </w:rPr>
  </w:style>
  <w:style w:type="paragraph" w:styleId="26">
    <w:name w:val="toc 9"/>
    <w:basedOn w:val="1"/>
    <w:next w:val="1"/>
    <w:qFormat/>
    <w:uiPriority w:val="0"/>
    <w:pPr>
      <w:spacing w:line="240" w:lineRule="auto"/>
      <w:ind w:left="3360" w:leftChars="1600"/>
    </w:pPr>
    <w:rPr>
      <w:rFonts w:ascii="Times New Roman" w:hAnsi="Times New Roman" w:eastAsia="宋体" w:cs="Times New Roman"/>
      <w:szCs w:val="24"/>
    </w:rPr>
  </w:style>
  <w:style w:type="paragraph" w:styleId="27">
    <w:name w:val="Title"/>
    <w:basedOn w:val="1"/>
    <w:next w:val="1"/>
    <w:link w:val="66"/>
    <w:qFormat/>
    <w:uiPriority w:val="10"/>
    <w:pPr>
      <w:spacing w:before="240" w:after="60" w:line="240" w:lineRule="auto"/>
      <w:jc w:val="center"/>
      <w:outlineLvl w:val="0"/>
    </w:pPr>
    <w:rPr>
      <w:rFonts w:ascii="Cambria" w:hAnsi="Cambria" w:eastAsia="宋体" w:cs="Times New Roman"/>
      <w:b/>
      <w:bCs/>
      <w:sz w:val="32"/>
      <w:szCs w:val="32"/>
    </w:rPr>
  </w:style>
  <w:style w:type="paragraph" w:styleId="28">
    <w:name w:val="annotation subject"/>
    <w:basedOn w:val="13"/>
    <w:next w:val="13"/>
    <w:link w:val="68"/>
    <w:semiHidden/>
    <w:unhideWhenUsed/>
    <w:qFormat/>
    <w:uiPriority w:val="99"/>
    <w:pPr>
      <w:spacing w:line="140" w:lineRule="atLeast"/>
    </w:pPr>
    <w:rPr>
      <w:b/>
      <w:bCs/>
      <w:szCs w:val="22"/>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954F72"/>
      <w:u w:val="single"/>
    </w:rPr>
  </w:style>
  <w:style w:type="character" w:styleId="35">
    <w:name w:val="Hyperlink"/>
    <w:qFormat/>
    <w:uiPriority w:val="99"/>
    <w:rPr>
      <w:color w:val="0000FF"/>
      <w:u w:val="single"/>
    </w:rPr>
  </w:style>
  <w:style w:type="character" w:styleId="36">
    <w:name w:val="annotation reference"/>
    <w:basedOn w:val="31"/>
    <w:semiHidden/>
    <w:unhideWhenUsed/>
    <w:qFormat/>
    <w:uiPriority w:val="99"/>
    <w:rPr>
      <w:sz w:val="21"/>
      <w:szCs w:val="21"/>
    </w:rPr>
  </w:style>
  <w:style w:type="character" w:customStyle="1" w:styleId="37">
    <w:name w:val="页眉 Char"/>
    <w:basedOn w:val="31"/>
    <w:link w:val="21"/>
    <w:qFormat/>
    <w:uiPriority w:val="0"/>
    <w:rPr>
      <w:sz w:val="18"/>
      <w:szCs w:val="18"/>
    </w:rPr>
  </w:style>
  <w:style w:type="character" w:customStyle="1" w:styleId="38">
    <w:name w:val="页脚 Char"/>
    <w:basedOn w:val="31"/>
    <w:link w:val="20"/>
    <w:qFormat/>
    <w:uiPriority w:val="0"/>
    <w:rPr>
      <w:sz w:val="18"/>
      <w:szCs w:val="18"/>
    </w:rPr>
  </w:style>
  <w:style w:type="paragraph" w:customStyle="1" w:styleId="39">
    <w:name w:val="无间隔1"/>
    <w:link w:val="40"/>
    <w:qFormat/>
    <w:uiPriority w:val="1"/>
    <w:rPr>
      <w:rFonts w:asciiTheme="minorHAnsi" w:hAnsiTheme="minorHAnsi" w:eastAsiaTheme="minorEastAsia" w:cstheme="minorBidi"/>
      <w:sz w:val="22"/>
      <w:szCs w:val="22"/>
      <w:lang w:val="en-US" w:eastAsia="zh-CN" w:bidi="ar-SA"/>
    </w:rPr>
  </w:style>
  <w:style w:type="character" w:customStyle="1" w:styleId="40">
    <w:name w:val="无间隔 Char"/>
    <w:basedOn w:val="31"/>
    <w:link w:val="39"/>
    <w:qFormat/>
    <w:uiPriority w:val="1"/>
    <w:rPr>
      <w:kern w:val="0"/>
      <w:sz w:val="22"/>
    </w:rPr>
  </w:style>
  <w:style w:type="character" w:customStyle="1" w:styleId="41">
    <w:name w:val="批注框文本 Char"/>
    <w:basedOn w:val="31"/>
    <w:link w:val="19"/>
    <w:qFormat/>
    <w:uiPriority w:val="0"/>
    <w:rPr>
      <w:sz w:val="18"/>
      <w:szCs w:val="18"/>
    </w:rPr>
  </w:style>
  <w:style w:type="character" w:customStyle="1" w:styleId="42">
    <w:name w:val="标题 1 Char"/>
    <w:basedOn w:val="31"/>
    <w:link w:val="2"/>
    <w:qFormat/>
    <w:uiPriority w:val="0"/>
    <w:rPr>
      <w:rFonts w:ascii="Times New Roman" w:hAnsi="Times New Roman" w:eastAsia="方正小标宋简体" w:cs="Times New Roman"/>
      <w:kern w:val="44"/>
      <w:sz w:val="44"/>
      <w:szCs w:val="24"/>
    </w:rPr>
  </w:style>
  <w:style w:type="character" w:customStyle="1" w:styleId="43">
    <w:name w:val="标题 2 Char"/>
    <w:basedOn w:val="31"/>
    <w:link w:val="3"/>
    <w:qFormat/>
    <w:uiPriority w:val="0"/>
    <w:rPr>
      <w:rFonts w:ascii="Arial" w:hAnsi="Arial" w:eastAsia="方正小标宋简体" w:cs="Times New Roman"/>
      <w:kern w:val="2"/>
      <w:sz w:val="28"/>
      <w:szCs w:val="24"/>
    </w:rPr>
  </w:style>
  <w:style w:type="character" w:customStyle="1" w:styleId="44">
    <w:name w:val="标题 3 Char"/>
    <w:basedOn w:val="31"/>
    <w:link w:val="4"/>
    <w:qFormat/>
    <w:uiPriority w:val="0"/>
    <w:rPr>
      <w:rFonts w:ascii="Times New Roman" w:hAnsi="Times New Roman" w:eastAsia="宋体" w:cs="Times New Roman"/>
      <w:b/>
      <w:sz w:val="32"/>
      <w:szCs w:val="24"/>
    </w:rPr>
  </w:style>
  <w:style w:type="character" w:customStyle="1" w:styleId="45">
    <w:name w:val="标题 4 Char"/>
    <w:basedOn w:val="31"/>
    <w:link w:val="5"/>
    <w:qFormat/>
    <w:uiPriority w:val="0"/>
    <w:rPr>
      <w:rFonts w:ascii="Arial" w:hAnsi="Arial" w:eastAsia="黑体" w:cs="Times New Roman"/>
      <w:b/>
      <w:sz w:val="28"/>
      <w:szCs w:val="24"/>
    </w:rPr>
  </w:style>
  <w:style w:type="character" w:customStyle="1" w:styleId="46">
    <w:name w:val="标题 5 Char"/>
    <w:basedOn w:val="31"/>
    <w:link w:val="6"/>
    <w:qFormat/>
    <w:uiPriority w:val="0"/>
    <w:rPr>
      <w:rFonts w:ascii="Times New Roman" w:hAnsi="Times New Roman" w:eastAsia="宋体" w:cs="Times New Roman"/>
      <w:b/>
      <w:sz w:val="28"/>
      <w:szCs w:val="24"/>
    </w:rPr>
  </w:style>
  <w:style w:type="character" w:customStyle="1" w:styleId="47">
    <w:name w:val="标题 6 Char"/>
    <w:basedOn w:val="31"/>
    <w:link w:val="7"/>
    <w:qFormat/>
    <w:uiPriority w:val="0"/>
    <w:rPr>
      <w:rFonts w:ascii="Arial" w:hAnsi="Arial" w:eastAsia="黑体" w:cs="Times New Roman"/>
      <w:b/>
      <w:sz w:val="24"/>
      <w:szCs w:val="24"/>
    </w:rPr>
  </w:style>
  <w:style w:type="character" w:customStyle="1" w:styleId="48">
    <w:name w:val="标题 7 Char"/>
    <w:basedOn w:val="31"/>
    <w:link w:val="8"/>
    <w:qFormat/>
    <w:uiPriority w:val="0"/>
    <w:rPr>
      <w:rFonts w:ascii="Times New Roman" w:hAnsi="Times New Roman" w:eastAsia="宋体" w:cs="Times New Roman"/>
      <w:b/>
      <w:sz w:val="24"/>
      <w:szCs w:val="24"/>
    </w:rPr>
  </w:style>
  <w:style w:type="character" w:customStyle="1" w:styleId="49">
    <w:name w:val="标题 8 Char"/>
    <w:basedOn w:val="31"/>
    <w:link w:val="9"/>
    <w:qFormat/>
    <w:uiPriority w:val="0"/>
    <w:rPr>
      <w:rFonts w:ascii="Arial" w:hAnsi="Arial" w:eastAsia="黑体" w:cs="Times New Roman"/>
      <w:sz w:val="24"/>
      <w:szCs w:val="24"/>
    </w:rPr>
  </w:style>
  <w:style w:type="character" w:customStyle="1" w:styleId="50">
    <w:name w:val="标题 9 Char"/>
    <w:basedOn w:val="31"/>
    <w:link w:val="10"/>
    <w:qFormat/>
    <w:uiPriority w:val="0"/>
    <w:rPr>
      <w:rFonts w:ascii="Arial" w:hAnsi="Arial" w:eastAsia="黑体" w:cs="Times New Roman"/>
      <w:szCs w:val="24"/>
    </w:rPr>
  </w:style>
  <w:style w:type="character" w:customStyle="1" w:styleId="51">
    <w:name w:val="文档结构图 Char"/>
    <w:basedOn w:val="31"/>
    <w:link w:val="12"/>
    <w:qFormat/>
    <w:uiPriority w:val="0"/>
    <w:rPr>
      <w:rFonts w:ascii="Times New Roman" w:hAnsi="Times New Roman" w:eastAsia="宋体" w:cs="Times New Roman"/>
      <w:szCs w:val="24"/>
      <w:shd w:val="clear" w:color="auto" w:fill="000080"/>
    </w:rPr>
  </w:style>
  <w:style w:type="character" w:customStyle="1" w:styleId="52">
    <w:name w:val="批注文字 Char"/>
    <w:basedOn w:val="31"/>
    <w:qFormat/>
    <w:uiPriority w:val="0"/>
  </w:style>
  <w:style w:type="character" w:customStyle="1" w:styleId="53">
    <w:name w:val="批注文字 Char1"/>
    <w:basedOn w:val="31"/>
    <w:link w:val="13"/>
    <w:qFormat/>
    <w:uiPriority w:val="0"/>
    <w:rPr>
      <w:szCs w:val="24"/>
    </w:rPr>
  </w:style>
  <w:style w:type="character" w:customStyle="1" w:styleId="54">
    <w:name w:val="纯文本 Char"/>
    <w:basedOn w:val="31"/>
    <w:qFormat/>
    <w:uiPriority w:val="0"/>
    <w:rPr>
      <w:rFonts w:ascii="宋体" w:hAnsi="Courier New" w:eastAsia="宋体" w:cs="Courier New"/>
      <w:szCs w:val="21"/>
    </w:rPr>
  </w:style>
  <w:style w:type="character" w:customStyle="1" w:styleId="55">
    <w:name w:val="纯文本 Char1"/>
    <w:basedOn w:val="31"/>
    <w:link w:val="16"/>
    <w:qFormat/>
    <w:uiPriority w:val="0"/>
    <w:rPr>
      <w:rFonts w:ascii="宋体" w:hAnsi="Courier New" w:cs="Courier New"/>
      <w:szCs w:val="21"/>
    </w:rPr>
  </w:style>
  <w:style w:type="character" w:customStyle="1" w:styleId="56">
    <w:name w:val="日期 Char"/>
    <w:basedOn w:val="31"/>
    <w:qFormat/>
    <w:uiPriority w:val="0"/>
  </w:style>
  <w:style w:type="character" w:customStyle="1" w:styleId="57">
    <w:name w:val="日期 Char1"/>
    <w:basedOn w:val="31"/>
    <w:link w:val="18"/>
    <w:qFormat/>
    <w:uiPriority w:val="0"/>
    <w:rPr>
      <w:szCs w:val="24"/>
    </w:rPr>
  </w:style>
  <w:style w:type="character" w:customStyle="1" w:styleId="58">
    <w:name w:val="页码1"/>
    <w:qFormat/>
    <w:uiPriority w:val="0"/>
    <w:rPr>
      <w:rFonts w:hint="default" w:ascii="Times New Roman" w:hAnsi="Times New Roman" w:cs="Times New Roman"/>
    </w:rPr>
  </w:style>
  <w:style w:type="paragraph" w:customStyle="1" w:styleId="59">
    <w:name w:val="列出段落1"/>
    <w:basedOn w:val="1"/>
    <w:qFormat/>
    <w:uiPriority w:val="99"/>
    <w:pPr>
      <w:widowControl/>
      <w:spacing w:line="240" w:lineRule="auto"/>
      <w:ind w:firstLine="420" w:firstLineChars="200"/>
      <w:jc w:val="left"/>
    </w:pPr>
    <w:rPr>
      <w:rFonts w:ascii="宋体" w:hAnsi="宋体" w:eastAsia="宋体" w:cs="宋体"/>
      <w:kern w:val="0"/>
      <w:sz w:val="24"/>
      <w:szCs w:val="24"/>
    </w:rPr>
  </w:style>
  <w:style w:type="paragraph" w:customStyle="1" w:styleId="60">
    <w:name w:val="Char Char1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2">
    <w:name w:val="文档结构图 Char1"/>
    <w:qFormat/>
    <w:uiPriority w:val="0"/>
    <w:rPr>
      <w:rFonts w:ascii="宋体"/>
      <w:kern w:val="2"/>
      <w:sz w:val="18"/>
      <w:szCs w:val="18"/>
    </w:rPr>
  </w:style>
  <w:style w:type="character" w:customStyle="1" w:styleId="63">
    <w:name w:val="页眉 Char1"/>
    <w:qFormat/>
    <w:uiPriority w:val="0"/>
    <w:rPr>
      <w:kern w:val="2"/>
      <w:sz w:val="18"/>
      <w:szCs w:val="18"/>
    </w:rPr>
  </w:style>
  <w:style w:type="character" w:customStyle="1" w:styleId="64">
    <w:name w:val="批注框文本 Char1"/>
    <w:qFormat/>
    <w:uiPriority w:val="0"/>
    <w:rPr>
      <w:kern w:val="2"/>
      <w:sz w:val="18"/>
      <w:szCs w:val="18"/>
    </w:rPr>
  </w:style>
  <w:style w:type="character" w:customStyle="1" w:styleId="65">
    <w:name w:val="页脚 Char1"/>
    <w:qFormat/>
    <w:uiPriority w:val="0"/>
    <w:rPr>
      <w:kern w:val="2"/>
      <w:sz w:val="18"/>
      <w:szCs w:val="18"/>
    </w:rPr>
  </w:style>
  <w:style w:type="character" w:customStyle="1" w:styleId="66">
    <w:name w:val="标题 Char"/>
    <w:basedOn w:val="31"/>
    <w:link w:val="27"/>
    <w:qFormat/>
    <w:uiPriority w:val="10"/>
    <w:rPr>
      <w:rFonts w:ascii="Cambria" w:hAnsi="Cambria" w:eastAsia="宋体" w:cs="Times New Roman"/>
      <w:b/>
      <w:bCs/>
      <w:sz w:val="32"/>
      <w:szCs w:val="32"/>
    </w:rPr>
  </w:style>
  <w:style w:type="paragraph" w:customStyle="1" w:styleId="6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68">
    <w:name w:val="批注主题 Char"/>
    <w:basedOn w:val="53"/>
    <w:link w:val="28"/>
    <w:semiHidden/>
    <w:qFormat/>
    <w:uiPriority w:val="99"/>
    <w:rPr>
      <w:b/>
      <w:bCs/>
      <w:kern w:val="2"/>
      <w:sz w:val="21"/>
      <w:szCs w:val="22"/>
    </w:rPr>
  </w:style>
  <w:style w:type="paragraph" w:customStyle="1" w:styleId="69">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bCs/>
      <w:color w:val="366091" w:themeColor="accent1" w:themeShade="BF"/>
      <w:kern w:val="0"/>
      <w:sz w:val="28"/>
      <w:szCs w:val="28"/>
    </w:rPr>
  </w:style>
  <w:style w:type="paragraph" w:styleId="70">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CoverPageProperties xmlns="http://schemas.microsoft.com/office/2006/coverPageProps">
  <PublishDate>2017-07-14T00:00:00</PublishDate>
  <Abstract>国家乳业工程技术研究院</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78FFFC6A-6D56-48B1-B43F-48CE4BEFDDD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3549</Words>
  <Characters>20231</Characters>
  <Lines>168</Lines>
  <Paragraphs>47</Paragraphs>
  <TotalTime>2</TotalTime>
  <ScaleCrop>false</ScaleCrop>
  <LinksUpToDate>false</LinksUpToDate>
  <CharactersWithSpaces>23733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2021-07-19T06:10:00Z</dcterms:created>
  <dc:creator>国家乳业工程技术研究中心</dc:creator>
  <cp:lastModifiedBy>测试14</cp:lastModifiedBy>
  <cp:lastPrinted>2021-07-22T01:16:00Z</cp:lastPrinted>
  <dcterms:modified xsi:type="dcterms:W3CDTF">2021-08-02T02:16:39Z</dcterms:modified>
  <dc:title>乳制品生产许可审查细则修订中期报告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C09727330FEA42B99C65BC471F6DFAB3</vt:lpwstr>
  </property>
</Properties>
</file>