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94" w:lineRule="exact"/>
        <w:jc w:val="center"/>
        <w:textAlignment w:val="auto"/>
        <w:rPr>
          <w:rFonts w:ascii="方正小标宋简体" w:hAnsi="黑体" w:eastAsia="方正小标宋简体"/>
          <w:b w:val="0"/>
          <w:bCs w:val="0"/>
        </w:rPr>
      </w:pPr>
      <w:r>
        <w:rPr>
          <w:rFonts w:hint="eastAsia" w:ascii="方正小标宋简体" w:hAnsi="黑体" w:eastAsia="方正小标宋简体"/>
          <w:b w:val="0"/>
          <w:bCs w:val="0"/>
        </w:rPr>
        <w:t>家用</w:t>
      </w:r>
      <w:r>
        <w:rPr>
          <w:rFonts w:ascii="方正小标宋简体" w:hAnsi="黑体" w:eastAsia="方正小标宋简体"/>
          <w:b w:val="0"/>
          <w:bCs w:val="0"/>
        </w:rPr>
        <w:t>燃气灶消费提示</w:t>
      </w:r>
    </w:p>
    <w:p>
      <w:pPr>
        <w:pStyle w:val="6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仿宋_GB2312" w:hAnsi="Calibri" w:eastAsia="仿宋_GB2312" w:cs="Calibri"/>
          <w:kern w:val="2"/>
          <w:sz w:val="32"/>
          <w:szCs w:val="32"/>
        </w:rPr>
      </w:pPr>
    </w:p>
    <w:p>
      <w:pPr>
        <w:pStyle w:val="6"/>
        <w:widowControl w:val="0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_GB2312" w:hAnsi="Calibri" w:eastAsia="仿宋_GB2312" w:cs="Calibri"/>
          <w:kern w:val="2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  <w:lang w:val="en-US" w:eastAsia="zh-CN"/>
        </w:rPr>
        <w:t>家用燃气灶是居民生活必不可少的厨房用具之一，正确的使用方法对于使用者的健康安全，环境保护和节约能源非常重要。消费者在购买和使用燃气灶时应注意以下几方面：</w:t>
      </w:r>
    </w:p>
    <w:p>
      <w:pPr>
        <w:pStyle w:val="6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一、选购常识</w:t>
      </w:r>
    </w:p>
    <w:p>
      <w:pPr>
        <w:pStyle w:val="6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仿宋_GB2312" w:hAnsi="Calibri" w:eastAsia="仿宋_GB2312" w:cs="Calibri"/>
          <w:kern w:val="2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</w:rPr>
        <w:t>1</w:t>
      </w:r>
      <w:r>
        <w:rPr>
          <w:rFonts w:ascii="仿宋_GB2312" w:hAnsi="Calibri" w:eastAsia="仿宋_GB2312" w:cs="Calibri"/>
          <w:kern w:val="2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仿宋_GB2312" w:hAnsi="Calibri" w:eastAsia="仿宋_GB2312" w:cs="Calibri"/>
          <w:kern w:val="2"/>
          <w:sz w:val="32"/>
          <w:szCs w:val="32"/>
        </w:rPr>
        <w:t>家用燃气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灶</w:t>
      </w:r>
      <w:r>
        <w:rPr>
          <w:rFonts w:ascii="仿宋_GB2312" w:hAnsi="Calibri" w:eastAsia="仿宋_GB2312" w:cs="Calibri"/>
          <w:kern w:val="2"/>
          <w:sz w:val="32"/>
          <w:szCs w:val="32"/>
        </w:rPr>
        <w:t>实行CCC</w:t>
      </w:r>
      <w:r>
        <w:rPr>
          <w:rFonts w:hint="eastAsia" w:ascii="仿宋_GB2312" w:hAnsi="仿宋_GB2312" w:eastAsia="仿宋_GB2312" w:cs="仿宋_GB2312"/>
          <w:sz w:val="32"/>
          <w:szCs w:val="32"/>
        </w:rPr>
        <w:t>强制性产品</w:t>
      </w:r>
      <w:r>
        <w:rPr>
          <w:rFonts w:ascii="仿宋_GB2312" w:hAnsi="Calibri" w:eastAsia="仿宋_GB2312" w:cs="Calibri"/>
          <w:kern w:val="2"/>
          <w:sz w:val="32"/>
          <w:szCs w:val="32"/>
        </w:rPr>
        <w:t>认证管理，在选购时要选择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标</w:t>
      </w:r>
      <w:r>
        <w:rPr>
          <w:rFonts w:ascii="仿宋_GB2312" w:hAnsi="Calibri" w:eastAsia="仿宋_GB2312" w:cs="Calibri"/>
          <w:kern w:val="2"/>
          <w:sz w:val="32"/>
          <w:szCs w:val="32"/>
        </w:rPr>
        <w:t>有CCC标识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、</w:t>
      </w:r>
      <w:r>
        <w:rPr>
          <w:rFonts w:ascii="仿宋_GB2312" w:hAnsi="Calibri" w:eastAsia="仿宋_GB2312" w:cs="Calibri"/>
          <w:kern w:val="2"/>
          <w:sz w:val="32"/>
          <w:szCs w:val="32"/>
        </w:rPr>
        <w:t>正规企业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生产</w:t>
      </w:r>
      <w:r>
        <w:rPr>
          <w:rFonts w:ascii="仿宋_GB2312" w:hAnsi="Calibri" w:eastAsia="仿宋_GB2312" w:cs="Calibri"/>
          <w:kern w:val="2"/>
          <w:sz w:val="32"/>
          <w:szCs w:val="32"/>
        </w:rPr>
        <w:t>的产品。</w:t>
      </w:r>
    </w:p>
    <w:p>
      <w:pPr>
        <w:pStyle w:val="6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仿宋_GB2312" w:hAnsi="Calibri" w:eastAsia="仿宋_GB2312" w:cs="Calibri"/>
          <w:kern w:val="2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</w:rPr>
        <w:t>2.</w:t>
      </w:r>
      <w:r>
        <w:rPr>
          <w:rFonts w:ascii="仿宋_GB2312" w:hAnsi="Calibri" w:eastAsia="仿宋_GB2312" w:cs="Calibri"/>
          <w:kern w:val="2"/>
          <w:sz w:val="32"/>
          <w:szCs w:val="32"/>
        </w:rPr>
        <w:t>家用燃气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灶</w:t>
      </w:r>
      <w:r>
        <w:rPr>
          <w:rFonts w:ascii="仿宋_GB2312" w:hAnsi="Calibri" w:eastAsia="仿宋_GB2312" w:cs="Calibri"/>
          <w:kern w:val="2"/>
          <w:sz w:val="32"/>
          <w:szCs w:val="32"/>
        </w:rPr>
        <w:t>已被纳入国家能效监管体系，应在外壳贴有能效标识，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能效标识的真伪可以通过扫描标识上的二维码来辨别，</w:t>
      </w:r>
      <w:r>
        <w:rPr>
          <w:rFonts w:ascii="仿宋_GB2312" w:hAnsi="Calibri" w:eastAsia="仿宋_GB2312" w:cs="Calibri"/>
          <w:kern w:val="2"/>
          <w:sz w:val="32"/>
          <w:szCs w:val="32"/>
        </w:rPr>
        <w:t>尽量选择较高能效等级的家用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燃气灶</w:t>
      </w:r>
      <w:r>
        <w:rPr>
          <w:rFonts w:ascii="仿宋_GB2312" w:hAnsi="Calibri" w:eastAsia="仿宋_GB2312" w:cs="Calibri"/>
          <w:kern w:val="2"/>
          <w:sz w:val="32"/>
          <w:szCs w:val="32"/>
        </w:rPr>
        <w:t>产品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。</w:t>
      </w:r>
    </w:p>
    <w:p>
      <w:pPr>
        <w:pStyle w:val="6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仿宋_GB2312" w:hAnsi="Calibri" w:eastAsia="仿宋_GB2312" w:cs="Calibri"/>
          <w:kern w:val="2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</w:rPr>
        <w:t>3.查看产品铭牌，重点确认“产品名称及型号”“燃气种类及额定压力”“额定热负荷”等信息是否齐全，并认真阅读产品使用说明书。为了安全使用，消费者尤其要关注“燃气种类及额定压力”，不能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将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天然气、液化石油气混用。</w:t>
      </w:r>
    </w:p>
    <w:p>
      <w:pPr>
        <w:pStyle w:val="6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仿宋_GB2312" w:hAnsi="Calibri" w:eastAsia="仿宋_GB2312" w:cs="Calibri"/>
          <w:kern w:val="2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</w:rPr>
        <w:t>4</w:t>
      </w:r>
      <w:r>
        <w:rPr>
          <w:rFonts w:ascii="仿宋_GB2312" w:hAnsi="Calibri" w:eastAsia="仿宋_GB2312" w:cs="Calibri"/>
          <w:kern w:val="2"/>
          <w:sz w:val="32"/>
          <w:szCs w:val="32"/>
        </w:rPr>
        <w:t>.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应检查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燃气灶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是否装有熄火保护装置，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家用燃气灶产品必须安装熄火保护装置，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该装置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一般安装在靠近火盖侧。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目前熄火保护装置有热电式和离子感应式两种。</w:t>
      </w:r>
    </w:p>
    <w:p>
      <w:pPr>
        <w:pStyle w:val="6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二、使用常识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ascii="仿宋_GB2312" w:hAnsi="Calibri" w:eastAsia="仿宋_GB2312" w:cs="Calibri"/>
          <w:kern w:val="2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</w:rPr>
        <w:t>1</w:t>
      </w:r>
      <w:r>
        <w:rPr>
          <w:rFonts w:ascii="仿宋_GB2312" w:hAnsi="Calibri" w:eastAsia="仿宋_GB2312" w:cs="Calibri"/>
          <w:kern w:val="2"/>
          <w:sz w:val="32"/>
          <w:szCs w:val="32"/>
        </w:rPr>
        <w:t>.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使用燃气灶前一定要仔细阅读说明书和产品外壳上张贴的铭牌等。特别是产品适用燃气种类的警示，不同气源的产品结构有别，误用气源会造成产品不能正常使用或者出现一氧化碳超标等情况，导致人身伤害和财产损失。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ascii="仿宋_GB2312" w:hAnsi="Calibri" w:eastAsia="仿宋_GB2312" w:cs="Calibri"/>
          <w:kern w:val="2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</w:rPr>
        <w:t>2.连接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燃气灶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的软管长度不得超过2米，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建议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软管不穿墙，不使用三通。要定期更换燃气连接软管，并时常检查燃气连接管路是否有漏气现象，对于变形的连接软管和接头等必须及时联系专业人员进行更换。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ascii="仿宋_GB2312" w:hAnsi="Calibri" w:eastAsia="仿宋_GB2312" w:cs="Calibri"/>
          <w:kern w:val="2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</w:rPr>
        <w:t>3</w:t>
      </w:r>
      <w:r>
        <w:rPr>
          <w:rFonts w:ascii="仿宋_GB2312" w:hAnsi="Calibri" w:eastAsia="仿宋_GB2312" w:cs="Calibri"/>
          <w:kern w:val="2"/>
          <w:sz w:val="32"/>
          <w:szCs w:val="32"/>
        </w:rPr>
        <w:t>.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发现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燃气灶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不能正常点火或者火焰出现跳火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离焰等现象时，可以根据说明书的提示，适当的调节位于产品底部的风门。如果调解风门无效，应查看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燃气灶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所用电池是否需要更换。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ascii="仿宋_GB2312" w:hAnsi="Calibri" w:eastAsia="仿宋_GB2312" w:cs="Calibri"/>
          <w:kern w:val="2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</w:rPr>
        <w:t>4</w:t>
      </w:r>
      <w:r>
        <w:rPr>
          <w:rFonts w:ascii="仿宋_GB2312" w:hAnsi="Calibri" w:eastAsia="仿宋_GB2312" w:cs="Calibri"/>
          <w:kern w:val="2"/>
          <w:sz w:val="32"/>
          <w:szCs w:val="32"/>
        </w:rPr>
        <w:t>.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定期清理火盖、喷嘴等易堵塞的地方，使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燃气灶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保持最佳的燃烧工况，延长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燃气灶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的使用寿命。</w:t>
      </w:r>
    </w:p>
    <w:p>
      <w:pPr>
        <w:pStyle w:val="6"/>
        <w:widowControl w:val="0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ascii="仿宋_GB2312" w:hAnsi="Calibri" w:eastAsia="仿宋_GB2312" w:cs="Calibri"/>
          <w:kern w:val="2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</w:rPr>
        <w:t>5</w:t>
      </w:r>
      <w:r>
        <w:rPr>
          <w:rFonts w:ascii="仿宋_GB2312" w:hAnsi="Calibri" w:eastAsia="仿宋_GB2312" w:cs="Calibri"/>
          <w:kern w:val="2"/>
          <w:sz w:val="32"/>
          <w:szCs w:val="32"/>
        </w:rPr>
        <w:t>.</w:t>
      </w:r>
      <w:r>
        <w:rPr>
          <w:rFonts w:hint="eastAsia" w:ascii="仿宋_GB2312" w:hAnsi="Calibri" w:eastAsia="仿宋_GB2312" w:cs="Calibri"/>
          <w:sz w:val="32"/>
          <w:szCs w:val="32"/>
          <w:lang w:eastAsia="zh-CN"/>
        </w:rPr>
        <w:t>清理</w:t>
      </w:r>
      <w:r>
        <w:rPr>
          <w:rFonts w:hint="eastAsia" w:ascii="仿宋_GB2312" w:hAnsi="Calibri" w:eastAsia="仿宋_GB2312" w:cs="Calibri"/>
          <w:sz w:val="32"/>
          <w:szCs w:val="32"/>
        </w:rPr>
        <w:t>燃烧器时宜仅限于清理燃烧器表面，尽可能不拆动燃烧器部件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。在清理过程中注意不要损伤燃气管路，引发燃气泄漏事故。</w:t>
      </w:r>
    </w:p>
    <w:p>
      <w:pPr>
        <w:pStyle w:val="6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kern w:val="2"/>
          <w:sz w:val="32"/>
          <w:szCs w:val="32"/>
        </w:rPr>
        <w:t>6</w:t>
      </w:r>
      <w:r>
        <w:rPr>
          <w:rFonts w:ascii="仿宋_GB2312" w:hAnsi="Calibri" w:eastAsia="仿宋_GB2312" w:cs="Calibri"/>
          <w:kern w:val="2"/>
          <w:sz w:val="32"/>
          <w:szCs w:val="32"/>
        </w:rPr>
        <w:t>.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国家标准规定，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燃气灶具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的判废年限应为8年，消费者应避免使用超期</w:t>
      </w:r>
      <w:r>
        <w:rPr>
          <w:rFonts w:hint="eastAsia" w:ascii="仿宋_GB2312" w:hAnsi="Calibri" w:eastAsia="仿宋_GB2312" w:cs="Calibri"/>
          <w:kern w:val="2"/>
          <w:sz w:val="32"/>
          <w:szCs w:val="32"/>
          <w:lang w:eastAsia="zh-CN"/>
        </w:rPr>
        <w:t>燃气灶</w:t>
      </w:r>
      <w:r>
        <w:rPr>
          <w:rFonts w:hint="eastAsia" w:ascii="仿宋_GB2312" w:hAnsi="Calibri" w:eastAsia="仿宋_GB2312" w:cs="Calibri"/>
          <w:kern w:val="2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D20A5"/>
    <w:rsid w:val="63ED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2021-11-10T02:56:00Z</dcterms:created>
  <dc:creator>user</dc:creator>
  <cp:lastModifiedBy>user</cp:lastModifiedBy>
  <dcterms:modified xsi:type="dcterms:W3CDTF">2021-11-10T02:56:14Z</dcterms:modified>
  <dc:title>家用燃气灶消费提示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