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auto"/>
          <w:spacing w:val="30"/>
          <w:kern w:val="0"/>
          <w:sz w:val="52"/>
          <w:szCs w:val="52"/>
          <w:fitText w:val="5742" w:id="311893790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auto"/>
          <w:spacing w:val="1"/>
          <w:kern w:val="0"/>
          <w:sz w:val="52"/>
          <w:szCs w:val="52"/>
          <w:fitText w:val="5742" w:id="31189379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auto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auto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国市监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处罚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113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当事人：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苏宁易购集团股份有限公司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住  所：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南京市山西路8号金山大厦1-5层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after="0"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反垄断法》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（以下简称《反垄断法》）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《经营者集中审查暂行规定》，本机关于2021年8月12日对苏宁易购集团股份有限公司（以下简称苏宁易购）收购南京八天贸易有限公司（以下简称八天贸易）股权涉嫌未依法申报违法实施经营者集中案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 w:val="0"/>
        <w:bidi w:val="0"/>
        <w:adjustRightInd w:val="0"/>
        <w:snapToGrid/>
        <w:spacing w:before="0" w:beforeAutospacing="0" w:afterAutospacing="0" w:line="594" w:lineRule="exact"/>
        <w:ind w:left="0" w:right="0" w:firstLine="628" w:firstLineChars="20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经查，该案构成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的规定，向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苏宁易购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送达了《行政处罚告知书》，告知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拟作出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事实、理由、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并告知当事人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依法享有的陈述、申辩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要求听证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苏宁易购在规定期限内没有提出陈述、申辩意见或要求举行听证。本案现已调查、审理终结。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（一）交易方。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3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收购方：苏宁易购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。1996年于南京注册成立，2004年在深圳证券交易所上市交易，最终控制人为自然人张近东。苏宁易购主要从事商品零售业务。2016年苏宁易购全球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和中国境内营业额（略）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3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被收购方：八天贸易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。2013年于南京注册成立，最终控制人为（略）和亚东北辰创业投资有限公司（以下简称“亚东北辰”），主要从事在线商超业务。2016年八天贸易全球和中国境内营业额（略）。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43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目标公司其他股东：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目标公司其他股东：亚东北辰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。2013年于西藏注册成立，最终控制人为复星控股有限公司，主要从事投资管理业务。2016年亚东北辰全球和中国境内营业额（略）。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（二）交易概况。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41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</w:pPr>
      <w:r>
        <w:rPr>
          <w:rFonts w:hint="eastAsia" w:ascii="Times New Roman" w:hAnsi="Times New Roman" w:cs="Times New Roman"/>
          <w:bCs/>
          <w:color w:val="auto"/>
          <w:kern w:val="2"/>
          <w:sz w:val="32"/>
          <w:szCs w:val="32"/>
          <w:lang w:val="en-US" w:eastAsia="zh-CN" w:bidi="ar-SA"/>
        </w:rPr>
        <w:t>该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交易系股权收购。2016年5月31日，苏宁易购与八天贸易、亚东北辰等签署《增资协议》，苏宁</w:t>
      </w:r>
      <w:r>
        <w:rPr>
          <w:rFonts w:hint="default" w:ascii="Times New Roman" w:hAnsi="Times New Roman" w:cs="Times New Roman"/>
          <w:bCs/>
          <w:color w:val="auto"/>
          <w:kern w:val="2"/>
          <w:sz w:val="32"/>
          <w:szCs w:val="32"/>
          <w:lang w:val="en-US" w:eastAsia="zh-CN" w:bidi="ar-SA"/>
        </w:rPr>
        <w:t>易购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收购八天贸易10%的股权，并取得共同控制权。2017年1月23日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完成股权变更登记。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（一）本案构成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违法实施的经营者集中。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对其他经营者的控制权或者能够对其他经营者施加决定性影响”。该交易系股权收购，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苏宁易购收购八天贸易10%股权，并取得共同控制权，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苏宁易购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2016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全球和中国境内营业额（略）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2"/>
          <w:highlight w:val="none"/>
          <w:lang w:val="en-US" w:eastAsia="zh-CN" w:bidi="ar-SA"/>
        </w:rPr>
        <w:t>亚东北辰2016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全球和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中国境内营业额</w:t>
      </w:r>
      <w:r>
        <w:rPr>
          <w:rFonts w:hint="default" w:ascii="Times New Roman" w:hAnsi="Times New Roman" w:cs="Times New Roman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（略）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pStyle w:val="5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28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2017年1月23日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  <w:lang w:val="en-US" w:eastAsia="zh-CN"/>
        </w:rPr>
        <w:t>八天贸易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完成股权变更登记手续，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lang w:val="en-US" w:eastAsia="zh-CN" w:bidi="ar-SA"/>
        </w:rPr>
        <w:t>在此之前未依法申报，违反《反垄断法》第二十一条，构成未依法申报违法实施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本机关就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苏宁易购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收购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八天贸易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基于调查情况和评估结论，本机关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决定给予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苏宁易购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0万元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《行政处罚法》第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六十七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条规定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应当自收到本行政处罚决定书之日起十五日内，携缴款码到1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家中央财政非税收入收缴代理银行（工、农、中、建、交、中信、光大、招商、邮储、华夏、平安、兴业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、民生、广发、浙商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）任一银行网点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网上银行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缴纳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罚款。缴款码：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000000210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2114885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after="0" w:line="594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（此件公开发布）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1814" w:gutter="0"/>
      <w:cols w:space="0" w:num="1"/>
      <w:rtlGutter w:val="0"/>
      <w:docGrid w:type="linesAndChars" w:linePitch="290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570B1"/>
    <w:rsid w:val="04B95F9B"/>
    <w:rsid w:val="05C6295D"/>
    <w:rsid w:val="05D15580"/>
    <w:rsid w:val="066D2BBA"/>
    <w:rsid w:val="075F674C"/>
    <w:rsid w:val="07F35D81"/>
    <w:rsid w:val="08C17FF6"/>
    <w:rsid w:val="09842529"/>
    <w:rsid w:val="09AC08F5"/>
    <w:rsid w:val="0D7C1457"/>
    <w:rsid w:val="10144238"/>
    <w:rsid w:val="1091772E"/>
    <w:rsid w:val="129D7B4E"/>
    <w:rsid w:val="13F85EFD"/>
    <w:rsid w:val="16657401"/>
    <w:rsid w:val="169767E4"/>
    <w:rsid w:val="173B2FCB"/>
    <w:rsid w:val="17A75EFC"/>
    <w:rsid w:val="18467473"/>
    <w:rsid w:val="18DB1E51"/>
    <w:rsid w:val="192053EE"/>
    <w:rsid w:val="1A156921"/>
    <w:rsid w:val="1B0602AC"/>
    <w:rsid w:val="1B095395"/>
    <w:rsid w:val="1C11264C"/>
    <w:rsid w:val="1D3570B1"/>
    <w:rsid w:val="1ED67F29"/>
    <w:rsid w:val="1F240CF0"/>
    <w:rsid w:val="1F573D93"/>
    <w:rsid w:val="20F54E14"/>
    <w:rsid w:val="21623065"/>
    <w:rsid w:val="21A54411"/>
    <w:rsid w:val="239A0124"/>
    <w:rsid w:val="265326DA"/>
    <w:rsid w:val="26FB6DC3"/>
    <w:rsid w:val="28C8606C"/>
    <w:rsid w:val="29171A1E"/>
    <w:rsid w:val="2A7A6DC6"/>
    <w:rsid w:val="2B0F6D0F"/>
    <w:rsid w:val="2F452AF6"/>
    <w:rsid w:val="30590D3B"/>
    <w:rsid w:val="31E778A8"/>
    <w:rsid w:val="33B94AAA"/>
    <w:rsid w:val="33E16394"/>
    <w:rsid w:val="3416149D"/>
    <w:rsid w:val="35482E33"/>
    <w:rsid w:val="3626666D"/>
    <w:rsid w:val="363909D7"/>
    <w:rsid w:val="370173E9"/>
    <w:rsid w:val="3752323C"/>
    <w:rsid w:val="38043EF0"/>
    <w:rsid w:val="39E75B24"/>
    <w:rsid w:val="3C6C3234"/>
    <w:rsid w:val="3D086E74"/>
    <w:rsid w:val="3F1D3C1A"/>
    <w:rsid w:val="3FAD2E94"/>
    <w:rsid w:val="4297136E"/>
    <w:rsid w:val="44F1186A"/>
    <w:rsid w:val="48A63464"/>
    <w:rsid w:val="49513DE5"/>
    <w:rsid w:val="49F75885"/>
    <w:rsid w:val="4ABC40B8"/>
    <w:rsid w:val="4EF957B9"/>
    <w:rsid w:val="4EFD73AF"/>
    <w:rsid w:val="51066390"/>
    <w:rsid w:val="51075873"/>
    <w:rsid w:val="5173084C"/>
    <w:rsid w:val="52A77C54"/>
    <w:rsid w:val="539625C7"/>
    <w:rsid w:val="53C219CF"/>
    <w:rsid w:val="550719D8"/>
    <w:rsid w:val="555F253E"/>
    <w:rsid w:val="556763EE"/>
    <w:rsid w:val="55AA423A"/>
    <w:rsid w:val="56533BA4"/>
    <w:rsid w:val="57193CE8"/>
    <w:rsid w:val="5A3853F1"/>
    <w:rsid w:val="5BDD2331"/>
    <w:rsid w:val="5C686AC3"/>
    <w:rsid w:val="5D4E6DD5"/>
    <w:rsid w:val="61262E77"/>
    <w:rsid w:val="630535E1"/>
    <w:rsid w:val="63432760"/>
    <w:rsid w:val="640E6FE8"/>
    <w:rsid w:val="6581574F"/>
    <w:rsid w:val="65C73BF1"/>
    <w:rsid w:val="68197930"/>
    <w:rsid w:val="686D740E"/>
    <w:rsid w:val="6A564164"/>
    <w:rsid w:val="6A9D4EF8"/>
    <w:rsid w:val="6E18573D"/>
    <w:rsid w:val="6F712D0C"/>
    <w:rsid w:val="70362DBE"/>
    <w:rsid w:val="7073388E"/>
    <w:rsid w:val="745C6091"/>
    <w:rsid w:val="7471005E"/>
    <w:rsid w:val="75510378"/>
    <w:rsid w:val="764248AB"/>
    <w:rsid w:val="799C3559"/>
    <w:rsid w:val="7A782B89"/>
    <w:rsid w:val="7D641176"/>
    <w:rsid w:val="BF2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2020-12-10T10:26:00Z</dcterms:created>
  <dc:creator>徐霄飞</dc:creator>
  <cp:lastModifiedBy>greatwall</cp:lastModifiedBy>
  <cp:lastPrinted>2021-10-26T10:07:00Z</cp:lastPrinted>
  <dcterms:modified xsi:type="dcterms:W3CDTF">2021-11-19T14:35:10Z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