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108</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2"/>
        <w:ind w:left="0" w:leftChars="0" w:firstLine="619" w:firstLineChars="197"/>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中华联合保险集团股份有限公司</w:t>
      </w:r>
    </w:p>
    <w:p>
      <w:pPr>
        <w:pStyle w:val="2"/>
        <w:ind w:left="0" w:leftChars="0" w:firstLine="619" w:firstLineChars="197"/>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北京市丰台区凤凰嘴街3号院1号楼</w:t>
      </w:r>
      <w:r>
        <w:rPr>
          <w:rFonts w:hint="eastAsia" w:ascii="Times New Roman" w:hAnsi="Times New Roman" w:eastAsia="仿宋_GB2312" w:cs="Times New Roman"/>
          <w:sz w:val="32"/>
          <w:lang w:val="en-US" w:eastAsia="zh-CN"/>
        </w:rPr>
        <w:t xml:space="preserve"> </w:t>
      </w:r>
    </w:p>
    <w:p>
      <w:pPr>
        <w:pStyle w:val="2"/>
        <w:ind w:left="0" w:leftChars="0" w:firstLine="619" w:firstLineChars="197"/>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val="en-US" w:eastAsia="zh-CN"/>
        </w:rPr>
        <w:t>上海云鑫创业投资有限公司</w:t>
      </w:r>
    </w:p>
    <w:p>
      <w:pPr>
        <w:pStyle w:val="2"/>
        <w:ind w:left="0" w:leftChars="0" w:firstLine="619" w:firstLineChars="197"/>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lang w:val="en-US" w:eastAsia="zh-CN"/>
        </w:rPr>
        <w:t>上海市黄浦区蒙自路207号13号楼419室</w:t>
      </w:r>
    </w:p>
    <w:p>
      <w:pPr>
        <w:pStyle w:val="2"/>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中华联合保险集团股份有限公司（以下简称中华保险）和上海云鑫创业投资有限公司（以下简称上海云鑫）设立合营企业</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rPr>
        <w:t>中华保险</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上海云鑫</w:t>
      </w:r>
      <w:r>
        <w:rPr>
          <w:rFonts w:hint="default" w:ascii="Times New Roman" w:hAnsi="Times New Roman" w:eastAsia="仿宋_GB2312" w:cs="Times New Roman"/>
          <w:kern w:val="2"/>
          <w:sz w:val="32"/>
          <w:szCs w:val="32"/>
        </w:rPr>
        <w:t>送达了《行政处罚告知书》，告知当事人拟作出的行政处罚内容及事实、理由、依据，并告知当事人依法享有的陈述、申辩、要求听证的权利。</w:t>
      </w:r>
      <w:r>
        <w:rPr>
          <w:rFonts w:hint="default" w:ascii="Times New Roman" w:hAnsi="Times New Roman" w:eastAsia="仿宋_GB2312" w:cs="Times New Roman"/>
          <w:sz w:val="32"/>
          <w:szCs w:val="32"/>
        </w:rPr>
        <w:t>中华保险</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上海云鑫</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ageBreakBefore w:val="0"/>
        <w:kinsoku/>
        <w:wordWrap/>
        <w:topLinePunct w:val="0"/>
        <w:bidi w:val="0"/>
        <w:spacing w:line="600" w:lineRule="exact"/>
        <w:ind w:firstLine="628"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lang w:eastAsia="zh-CN"/>
        </w:rPr>
        <w:t>合营一</w:t>
      </w:r>
      <w:r>
        <w:rPr>
          <w:rFonts w:hint="default" w:ascii="Times New Roman" w:hAnsi="Times New Roman" w:eastAsia="仿宋_GB2312" w:cs="Times New Roman"/>
          <w:b/>
          <w:bCs w:val="0"/>
          <w:sz w:val="32"/>
          <w:szCs w:val="32"/>
        </w:rPr>
        <w:t>方：中华保险</w:t>
      </w:r>
      <w:r>
        <w:rPr>
          <w:rFonts w:hint="eastAsia" w:eastAsia="仿宋_GB2312" w:cs="Times New Roman"/>
          <w:b/>
          <w:bCs w:val="0"/>
          <w:sz w:val="32"/>
          <w:szCs w:val="32"/>
          <w:lang w:eastAsia="zh-CN"/>
        </w:rPr>
        <w:t>。</w:t>
      </w:r>
      <w:r>
        <w:rPr>
          <w:rFonts w:hint="default" w:ascii="Times New Roman" w:hAnsi="Times New Roman" w:eastAsia="仿宋_GB2312" w:cs="Times New Roman"/>
          <w:bCs/>
          <w:sz w:val="32"/>
          <w:szCs w:val="32"/>
        </w:rPr>
        <w:t>2006年</w:t>
      </w:r>
      <w:r>
        <w:rPr>
          <w:rFonts w:hint="default" w:ascii="Times New Roman" w:hAnsi="Times New Roman" w:eastAsia="仿宋_GB2312" w:cs="Times New Roman"/>
          <w:bCs/>
          <w:sz w:val="32"/>
          <w:szCs w:val="32"/>
          <w:lang w:eastAsia="zh-CN"/>
        </w:rPr>
        <w:t>在北京</w:t>
      </w:r>
      <w:r>
        <w:rPr>
          <w:rFonts w:hint="eastAsia" w:eastAsia="仿宋_GB2312" w:cs="Times New Roman"/>
          <w:bCs/>
          <w:sz w:val="32"/>
          <w:szCs w:val="32"/>
          <w:lang w:val="en-US" w:eastAsia="zh-CN"/>
        </w:rPr>
        <w:t>市</w:t>
      </w:r>
      <w:r>
        <w:rPr>
          <w:rFonts w:hint="default" w:ascii="Times New Roman" w:hAnsi="Times New Roman" w:eastAsia="仿宋_GB2312" w:cs="Times New Roman"/>
          <w:bCs/>
          <w:sz w:val="32"/>
          <w:szCs w:val="32"/>
        </w:rPr>
        <w:t>注册成立，最终控制人是中国东方资产管理股份有限公司，中华保险主营业务包括投资设立保险企业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监管控股投资企业的国内国际业务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投资</w:t>
      </w:r>
      <w:r>
        <w:rPr>
          <w:rFonts w:hint="default"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rPr>
        <w:t>咨询业务</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highlight w:val="none"/>
        </w:rPr>
        <w:t>201</w:t>
      </w:r>
      <w:r>
        <w:rPr>
          <w:rFonts w:hint="default"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rPr>
        <w:t>年全球</w:t>
      </w:r>
      <w:r>
        <w:rPr>
          <w:rFonts w:hint="default" w:ascii="Times New Roman" w:hAnsi="Times New Roman" w:eastAsia="仿宋_GB2312" w:cs="Times New Roman"/>
          <w:bCs/>
          <w:sz w:val="32"/>
          <w:szCs w:val="32"/>
          <w:highlight w:val="none"/>
          <w:lang w:eastAsia="zh-CN"/>
        </w:rPr>
        <w:t>和中国境内</w:t>
      </w:r>
      <w:r>
        <w:rPr>
          <w:rFonts w:hint="default" w:ascii="Times New Roman" w:hAnsi="Times New Roman" w:eastAsia="仿宋_GB2312" w:cs="Times New Roman"/>
          <w:bCs/>
          <w:sz w:val="32"/>
          <w:szCs w:val="32"/>
          <w:highlight w:val="none"/>
        </w:rPr>
        <w:t>营业额</w:t>
      </w:r>
      <w:r>
        <w:rPr>
          <w:rFonts w:hint="default" w:ascii="Times New Roman" w:hAnsi="Times New Roman" w:eastAsia="仿宋_GB2312" w:cs="Times New Roman"/>
          <w:bCs/>
          <w:sz w:val="32"/>
          <w:szCs w:val="32"/>
          <w:highlight w:val="none"/>
          <w:lang w:eastAsia="zh-CN"/>
        </w:rPr>
        <w:t>均</w:t>
      </w:r>
      <w:r>
        <w:rPr>
          <w:rFonts w:hint="default" w:ascii="Times New Roman" w:hAnsi="Times New Roman" w:eastAsia="仿宋_GB2312" w:cs="Times New Roman"/>
          <w:bCs/>
          <w:sz w:val="32"/>
          <w:szCs w:val="32"/>
          <w:highlight w:val="none"/>
        </w:rPr>
        <w:t>为</w:t>
      </w:r>
      <w:r>
        <w:rPr>
          <w:rFonts w:hint="eastAsia" w:eastAsia="仿宋_GB2312" w:cs="Times New Roman"/>
          <w:bCs/>
          <w:sz w:val="32"/>
          <w:szCs w:val="32"/>
          <w:highlight w:val="none"/>
          <w:lang w:eastAsia="zh-CN"/>
        </w:rPr>
        <w:t>（略）</w:t>
      </w:r>
      <w:r>
        <w:rPr>
          <w:rFonts w:hint="default" w:ascii="Times New Roman" w:hAnsi="Times New Roman" w:eastAsia="仿宋_GB2312" w:cs="Times New Roman"/>
          <w:bCs/>
          <w:sz w:val="32"/>
          <w:szCs w:val="32"/>
          <w:highlight w:val="none"/>
        </w:rPr>
        <w:t>人民币（币种下同）。</w:t>
      </w:r>
    </w:p>
    <w:p>
      <w:pPr>
        <w:pageBreakBefore w:val="0"/>
        <w:kinsoku/>
        <w:wordWrap/>
        <w:topLinePunct w:val="0"/>
        <w:bidi w:val="0"/>
        <w:spacing w:line="600" w:lineRule="exact"/>
        <w:ind w:firstLine="628"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eastAsia="zh-CN"/>
        </w:rPr>
        <w:t>合营另一</w:t>
      </w:r>
      <w:r>
        <w:rPr>
          <w:rFonts w:hint="default" w:ascii="Times New Roman" w:hAnsi="Times New Roman" w:eastAsia="仿宋_GB2312" w:cs="Times New Roman"/>
          <w:b/>
          <w:bCs w:val="0"/>
          <w:sz w:val="32"/>
          <w:szCs w:val="32"/>
        </w:rPr>
        <w:t>方：上海云鑫</w:t>
      </w:r>
      <w:r>
        <w:rPr>
          <w:rFonts w:hint="eastAsia" w:eastAsia="仿宋_GB2312" w:cs="Times New Roman"/>
          <w:b/>
          <w:bCs w:val="0"/>
          <w:sz w:val="32"/>
          <w:szCs w:val="32"/>
          <w:lang w:eastAsia="zh-CN"/>
        </w:rPr>
        <w:t>。</w:t>
      </w:r>
      <w:r>
        <w:rPr>
          <w:rFonts w:hint="default" w:ascii="Times New Roman" w:hAnsi="Times New Roman" w:eastAsia="仿宋_GB2312" w:cs="Times New Roman"/>
          <w:bCs/>
          <w:sz w:val="32"/>
          <w:szCs w:val="32"/>
        </w:rPr>
        <w:t>2014年</w:t>
      </w:r>
      <w:r>
        <w:rPr>
          <w:rFonts w:hint="default" w:ascii="Times New Roman" w:hAnsi="Times New Roman" w:eastAsia="仿宋_GB2312" w:cs="Times New Roman"/>
          <w:bCs/>
          <w:sz w:val="32"/>
          <w:szCs w:val="32"/>
          <w:lang w:eastAsia="zh-CN"/>
        </w:rPr>
        <w:t>在上海</w:t>
      </w:r>
      <w:r>
        <w:rPr>
          <w:rFonts w:hint="eastAsia" w:eastAsia="仿宋_GB2312" w:cs="Times New Roman"/>
          <w:bCs/>
          <w:sz w:val="32"/>
          <w:szCs w:val="32"/>
          <w:lang w:val="en-US" w:eastAsia="zh-CN"/>
        </w:rPr>
        <w:t>市</w:t>
      </w:r>
      <w:r>
        <w:rPr>
          <w:rFonts w:hint="default" w:ascii="Times New Roman" w:hAnsi="Times New Roman" w:eastAsia="仿宋_GB2312" w:cs="Times New Roman"/>
          <w:bCs/>
          <w:sz w:val="32"/>
          <w:szCs w:val="32"/>
        </w:rPr>
        <w:t>注册成立，是蚂蚁科技集团股份有限公司（以下简称蚂蚁集团）的全资子公司，最终控制人是</w:t>
      </w:r>
      <w:r>
        <w:rPr>
          <w:rFonts w:hint="eastAsia" w:eastAsia="仿宋_GB2312" w:cs="Times New Roman"/>
          <w:bCs/>
          <w:sz w:val="32"/>
          <w:szCs w:val="32"/>
          <w:lang w:eastAsia="zh-CN"/>
        </w:rPr>
        <w:t>（略）</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蚂蚁集团主营业务包括数字支付与商家服务、数字金融科技平台以及创新业务等。</w:t>
      </w:r>
      <w:r>
        <w:rPr>
          <w:rFonts w:hint="default" w:ascii="Times New Roman" w:hAnsi="Times New Roman" w:eastAsia="仿宋_GB2312" w:cs="Times New Roman"/>
          <w:bCs/>
          <w:sz w:val="32"/>
          <w:szCs w:val="32"/>
          <w:highlight w:val="none"/>
        </w:rPr>
        <w:t>201</w:t>
      </w:r>
      <w:r>
        <w:rPr>
          <w:rFonts w:hint="default"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rPr>
        <w:t>年全球</w:t>
      </w:r>
      <w:r>
        <w:rPr>
          <w:rFonts w:hint="default" w:ascii="Times New Roman" w:hAnsi="Times New Roman" w:eastAsia="仿宋_GB2312" w:cs="Times New Roman"/>
          <w:bCs/>
          <w:sz w:val="32"/>
          <w:szCs w:val="32"/>
          <w:highlight w:val="none"/>
          <w:lang w:eastAsia="zh-CN"/>
        </w:rPr>
        <w:t>和中国境内</w:t>
      </w:r>
      <w:r>
        <w:rPr>
          <w:rFonts w:hint="default" w:ascii="Times New Roman" w:hAnsi="Times New Roman" w:eastAsia="仿宋_GB2312" w:cs="Times New Roman"/>
          <w:bCs/>
          <w:sz w:val="32"/>
          <w:szCs w:val="32"/>
          <w:highlight w:val="none"/>
        </w:rPr>
        <w:t>营业额</w:t>
      </w:r>
      <w:r>
        <w:rPr>
          <w:rFonts w:hint="default" w:ascii="Times New Roman" w:hAnsi="Times New Roman" w:eastAsia="仿宋_GB2312" w:cs="Times New Roman"/>
          <w:bCs/>
          <w:sz w:val="32"/>
          <w:szCs w:val="32"/>
          <w:highlight w:val="none"/>
          <w:lang w:eastAsia="zh-CN"/>
        </w:rPr>
        <w:t>分别</w:t>
      </w:r>
      <w:r>
        <w:rPr>
          <w:rFonts w:hint="default" w:ascii="Times New Roman" w:hAnsi="Times New Roman" w:eastAsia="仿宋_GB2312" w:cs="Times New Roman"/>
          <w:bCs/>
          <w:sz w:val="32"/>
          <w:szCs w:val="32"/>
          <w:highlight w:val="none"/>
        </w:rPr>
        <w:t>为</w:t>
      </w:r>
      <w:r>
        <w:rPr>
          <w:rFonts w:hint="eastAsia" w:eastAsia="仿宋_GB2312" w:cs="Times New Roman"/>
          <w:bCs/>
          <w:sz w:val="32"/>
          <w:szCs w:val="32"/>
          <w:lang w:eastAsia="zh-CN"/>
        </w:rPr>
        <w:t>（略）</w:t>
      </w:r>
      <w:r>
        <w:rPr>
          <w:rFonts w:hint="default" w:ascii="Times New Roman" w:hAnsi="Times New Roman" w:eastAsia="仿宋_GB2312" w:cs="Times New Roman"/>
          <w:bCs/>
          <w:sz w:val="32"/>
          <w:szCs w:val="32"/>
          <w:highlight w:val="none"/>
          <w:lang w:eastAsia="zh-CN"/>
        </w:rPr>
        <w:t>、</w:t>
      </w:r>
      <w:r>
        <w:rPr>
          <w:rFonts w:hint="eastAsia" w:eastAsia="仿宋_GB2312" w:cs="Times New Roman"/>
          <w:bCs/>
          <w:sz w:val="32"/>
          <w:szCs w:val="32"/>
          <w:lang w:eastAsia="zh-CN"/>
        </w:rPr>
        <w:t>（略）</w:t>
      </w:r>
      <w:r>
        <w:rPr>
          <w:rFonts w:hint="default" w:ascii="Times New Roman" w:hAnsi="Times New Roman" w:eastAsia="仿宋_GB2312" w:cs="Times New Roman"/>
          <w:bCs/>
          <w:sz w:val="32"/>
          <w:szCs w:val="32"/>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pageBreakBefore w:val="0"/>
        <w:widowControl w:val="0"/>
        <w:kinsoku/>
        <w:wordWrap/>
        <w:topLinePunct w:val="0"/>
        <w:bidi w:val="0"/>
        <w:adjustRightInd/>
        <w:snapToGrid w:val="0"/>
        <w:spacing w:line="560" w:lineRule="exact"/>
        <w:ind w:firstLine="643"/>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cs="Times New Roman"/>
          <w:sz w:val="32"/>
          <w:szCs w:val="32"/>
          <w:lang w:eastAsia="zh-CN"/>
        </w:rPr>
        <w:t>本交易系设立合营企业。2016年12月29日，合营双方签署交易协议，成立农联中鑫科技股份有限公司（以下简称农联中鑫），其中，中华保险持股60%，上海云鑫持股40%。</w:t>
      </w:r>
      <w:r>
        <w:rPr>
          <w:rFonts w:hint="default" w:ascii="Times New Roman" w:hAnsi="Times New Roman" w:cs="Times New Roman"/>
          <w:sz w:val="32"/>
          <w:szCs w:val="32"/>
          <w:lang w:eastAsia="zh-CN"/>
        </w:rPr>
        <w:t>2017年3月13日，农联中鑫取得营业执照。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628"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9"/>
      <w:r>
        <w:rPr>
          <w:rFonts w:hint="default" w:ascii="Times New Roman" w:hAnsi="Times New Roman" w:eastAsia="仿宋_GB2312" w:cs="Times New Roman"/>
          <w:sz w:val="32"/>
          <w:szCs w:val="32"/>
        </w:rPr>
        <w:t>2017年3月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中华保险和上海云鑫设立合营企业农联中鑫，分别持股60%、40%，取得农联中鑫</w:t>
      </w:r>
      <w:r>
        <w:rPr>
          <w:rFonts w:hint="eastAsia" w:eastAsia="仿宋_GB2312" w:cs="Times New Roman"/>
          <w:bCs/>
          <w:sz w:val="32"/>
          <w:szCs w:val="32"/>
          <w:lang w:eastAsia="zh-CN"/>
        </w:rPr>
        <w:t>的</w:t>
      </w:r>
      <w:r>
        <w:rPr>
          <w:rFonts w:hint="default" w:ascii="Times New Roman" w:hAnsi="Times New Roman" w:eastAsia="仿宋_GB2312" w:cs="Times New Roman"/>
          <w:bCs/>
          <w:sz w:val="32"/>
          <w:szCs w:val="32"/>
        </w:rPr>
        <w:t>共同控制权，属于《反垄断法》第二十条规定的经营者集中。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628" w:firstLineChars="200"/>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2016年中华保险全球和中国境内营业额均为</w:t>
      </w:r>
      <w:r>
        <w:rPr>
          <w:rFonts w:hint="eastAsia" w:eastAsia="仿宋_GB2312" w:cs="Times New Roman"/>
          <w:bCs/>
          <w:sz w:val="32"/>
          <w:szCs w:val="32"/>
          <w:lang w:eastAsia="zh-CN"/>
        </w:rPr>
        <w:t>（略）</w:t>
      </w:r>
      <w:r>
        <w:rPr>
          <w:rFonts w:hint="eastAsia" w:ascii="Times New Roman" w:hAnsi="Times New Roman" w:eastAsia="仿宋_GB2312" w:cs="Times New Roman"/>
          <w:bCs/>
          <w:sz w:val="32"/>
          <w:szCs w:val="32"/>
          <w:lang w:eastAsia="zh-CN"/>
        </w:rPr>
        <w:t>；上海云鑫全球和中国境内营业额分别为</w:t>
      </w:r>
      <w:r>
        <w:rPr>
          <w:rFonts w:hint="eastAsia" w:eastAsia="仿宋_GB2312" w:cs="Times New Roman"/>
          <w:bCs/>
          <w:sz w:val="32"/>
          <w:szCs w:val="32"/>
          <w:lang w:eastAsia="zh-CN"/>
        </w:rPr>
        <w:t>（略）</w:t>
      </w:r>
      <w:r>
        <w:rPr>
          <w:rFonts w:hint="eastAsia" w:ascii="Times New Roman" w:hAnsi="Times New Roman" w:eastAsia="仿宋_GB2312" w:cs="Times New Roman"/>
          <w:bCs/>
          <w:sz w:val="32"/>
          <w:szCs w:val="32"/>
          <w:lang w:eastAsia="zh-CN"/>
        </w:rPr>
        <w:t>、</w:t>
      </w:r>
      <w:r>
        <w:rPr>
          <w:rFonts w:hint="eastAsia" w:eastAsia="仿宋_GB2312" w:cs="Times New Roman"/>
          <w:bCs/>
          <w:sz w:val="32"/>
          <w:szCs w:val="32"/>
          <w:lang w:eastAsia="zh-CN"/>
        </w:rPr>
        <w:t>（略）</w:t>
      </w:r>
      <w:r>
        <w:rPr>
          <w:rFonts w:hint="eastAsia" w:ascii="Times New Roman" w:hAnsi="Times New Roman" w:eastAsia="仿宋_GB2312" w:cs="Times New Roman"/>
          <w:bCs/>
          <w:sz w:val="32"/>
          <w:szCs w:val="32"/>
          <w:lang w:eastAsia="zh-CN"/>
        </w:rPr>
        <w:t>，达到《国务院关于经营者集中申报标准的规定》第三条规定的申报标准，属于应当申报的情形。</w:t>
      </w:r>
    </w:p>
    <w:bookmarkEnd w:id="0"/>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规定“经营者集中达到国务院规定的申报标准的，经营者应当事先向国务院反垄断执法机构申报，未申报的不得实施集中”。2017年3月13日，农联中鑫取得营业执照，</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bookmarkStart w:id="1" w:name="_GoBack"/>
      <w:bookmarkEnd w:id="1"/>
      <w:r>
        <w:rPr>
          <w:rFonts w:hint="default" w:ascii="Times New Roman" w:hAnsi="Times New Roman" w:eastAsia="仿宋_GB2312" w:cs="Times New Roman"/>
          <w:sz w:val="32"/>
          <w:szCs w:val="32"/>
          <w:lang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中华保险和上海云鑫设立合营企业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情况和评估结论，本机关分别给予</w:t>
      </w:r>
      <w:r>
        <w:rPr>
          <w:rFonts w:hint="eastAsia" w:ascii="Times New Roman" w:hAnsi="Times New Roman" w:eastAsia="仿宋_GB2312" w:cs="Times New Roman"/>
          <w:bCs/>
          <w:color w:val="000000"/>
          <w:kern w:val="2"/>
          <w:sz w:val="32"/>
          <w:szCs w:val="32"/>
          <w:lang w:val="en-US" w:eastAsia="zh-CN"/>
        </w:rPr>
        <w:t>中华保险和上海云鑫</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highlight w:val="none"/>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w:t>
      </w:r>
      <w:r>
        <w:rPr>
          <w:rFonts w:hint="default" w:ascii="Times New Roman" w:hAnsi="Times New Roman" w:eastAsia="仿宋_GB2312" w:cs="Times New Roman"/>
          <w:bCs/>
          <w:color w:val="000000"/>
          <w:kern w:val="2"/>
          <w:sz w:val="32"/>
          <w:szCs w:val="32"/>
          <w:highlight w:val="none"/>
          <w:lang w:val="en-US" w:eastAsia="zh-CN"/>
        </w:rPr>
        <w:t>兴业</w:t>
      </w:r>
      <w:r>
        <w:rPr>
          <w:rFonts w:hint="eastAsia" w:ascii="Times New Roman" w:hAnsi="Times New Roman" w:eastAsia="仿宋_GB2312" w:cs="Times New Roman"/>
          <w:bCs/>
          <w:color w:val="000000"/>
          <w:kern w:val="2"/>
          <w:sz w:val="32"/>
          <w:szCs w:val="32"/>
          <w:highlight w:val="none"/>
          <w:lang w:val="en-US" w:eastAsia="zh-CN"/>
        </w:rPr>
        <w:t>、民生、广发、浙商</w:t>
      </w:r>
      <w:r>
        <w:rPr>
          <w:rFonts w:hint="default" w:ascii="Times New Roman" w:hAnsi="Times New Roman" w:eastAsia="仿宋_GB2312" w:cs="Times New Roman"/>
          <w:bCs/>
          <w:color w:val="000000"/>
          <w:kern w:val="2"/>
          <w:sz w:val="32"/>
          <w:szCs w:val="32"/>
          <w:highlight w:val="none"/>
          <w:lang w:val="en-US" w:eastAsia="zh-CN"/>
        </w:rPr>
        <w:t>）任一银行网点</w:t>
      </w:r>
      <w:r>
        <w:rPr>
          <w:rFonts w:hint="eastAsia" w:ascii="Times New Roman" w:hAnsi="Times New Roman" w:eastAsia="仿宋_GB2312" w:cs="Times New Roman"/>
          <w:bCs/>
          <w:color w:val="000000"/>
          <w:kern w:val="2"/>
          <w:sz w:val="32"/>
          <w:szCs w:val="32"/>
          <w:highlight w:val="none"/>
          <w:lang w:val="en-US" w:eastAsia="zh-CN"/>
        </w:rPr>
        <w:t>、</w:t>
      </w:r>
      <w:r>
        <w:rPr>
          <w:rFonts w:hint="default" w:ascii="Times New Roman" w:hAnsi="Times New Roman" w:eastAsia="仿宋_GB2312" w:cs="Times New Roman"/>
          <w:bCs/>
          <w:color w:val="000000"/>
          <w:kern w:val="2"/>
          <w:sz w:val="32"/>
          <w:szCs w:val="32"/>
          <w:highlight w:val="none"/>
          <w:lang w:val="en-US" w:eastAsia="zh-CN"/>
        </w:rPr>
        <w:t>网上银行缴纳罚款。</w:t>
      </w:r>
      <w:r>
        <w:rPr>
          <w:rFonts w:hint="default" w:ascii="Times New Roman" w:hAnsi="Times New Roman" w:eastAsia="仿宋_GB2312" w:cs="Times New Roman"/>
          <w:bCs/>
          <w:color w:val="000000"/>
          <w:kern w:val="2"/>
          <w:sz w:val="32"/>
          <w:szCs w:val="32"/>
          <w:highlight w:val="none"/>
          <w:lang w:eastAsia="zh-CN"/>
        </w:rPr>
        <w:t>缴款码：</w:t>
      </w:r>
      <w:r>
        <w:rPr>
          <w:rFonts w:hint="default" w:ascii="Times New Roman" w:hAnsi="Times New Roman" w:eastAsia="仿宋_GB2312" w:cs="Times New Roman"/>
          <w:sz w:val="32"/>
          <w:szCs w:val="32"/>
          <w:lang w:eastAsia="zh-CN"/>
        </w:rPr>
        <w:t>中华保险</w:t>
      </w:r>
      <w:r>
        <w:rPr>
          <w:rFonts w:hint="eastAsia" w:eastAsia="仿宋_GB2312" w:cs="Times New Roman"/>
          <w:b w:val="0"/>
          <w:bCs/>
          <w:kern w:val="2"/>
          <w:sz w:val="32"/>
          <w:szCs w:val="32"/>
          <w:highlight w:val="none"/>
          <w:lang w:val="en-US" w:eastAsia="zh-CN" w:bidi="ar-SA"/>
        </w:rPr>
        <w:t>0000002102114990</w:t>
      </w:r>
      <w:r>
        <w:rPr>
          <w:rFonts w:hint="eastAsia" w:eastAsia="仿宋_GB2312"/>
          <w:kern w:val="2"/>
          <w:sz w:val="32"/>
          <w:szCs w:val="32"/>
          <w:highlight w:val="none"/>
          <w:lang w:val="en-US" w:eastAsia="zh-CN"/>
        </w:rPr>
        <w:t>，</w:t>
      </w:r>
      <w:r>
        <w:rPr>
          <w:rFonts w:hint="default" w:ascii="Times New Roman" w:hAnsi="Times New Roman" w:eastAsia="仿宋_GB2312" w:cs="Times New Roman"/>
          <w:sz w:val="32"/>
          <w:szCs w:val="32"/>
          <w:highlight w:val="none"/>
          <w:lang w:eastAsia="zh-CN"/>
        </w:rPr>
        <w:t>上海云鑫</w:t>
      </w:r>
      <w:r>
        <w:rPr>
          <w:rFonts w:hint="eastAsia" w:eastAsia="仿宋_GB2312" w:cs="Times New Roman"/>
          <w:b w:val="0"/>
          <w:bCs/>
          <w:kern w:val="2"/>
          <w:sz w:val="32"/>
          <w:szCs w:val="32"/>
          <w:highlight w:val="none"/>
          <w:lang w:val="en-US" w:eastAsia="zh-CN" w:bidi="ar-SA"/>
        </w:rPr>
        <w:t>0000002102115001</w:t>
      </w:r>
      <w:r>
        <w:rPr>
          <w:rFonts w:hint="default" w:ascii="Times New Roman" w:hAnsi="Times New Roman" w:eastAsia="仿宋_GB2312" w:cs="Times New Roman"/>
          <w:bCs/>
          <w:color w:val="000000"/>
          <w:kern w:val="2"/>
          <w:sz w:val="32"/>
          <w:szCs w:val="32"/>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highlight w:val="none"/>
          <w:lang w:eastAsia="zh-CN"/>
        </w:rPr>
        <w:t>当事人</w:t>
      </w:r>
      <w:r>
        <w:rPr>
          <w:rFonts w:hint="default" w:ascii="Times New Roman" w:hAnsi="Times New Roman" w:eastAsia="仿宋_GB2312" w:cs="Times New Roman"/>
          <w:bCs/>
          <w:color w:val="000000"/>
          <w:kern w:val="2"/>
          <w:sz w:val="32"/>
          <w:szCs w:val="32"/>
          <w:highlight w:val="none"/>
          <w:lang w:eastAsia="zh-CN"/>
        </w:rPr>
        <w:t>如对上述行政处罚决定不服，可以自收到本行政处罚决</w:t>
      </w:r>
      <w:r>
        <w:rPr>
          <w:rFonts w:hint="default" w:ascii="Times New Roman" w:hAnsi="Times New Roman" w:eastAsia="仿宋_GB2312" w:cs="Times New Roman"/>
          <w:bCs/>
          <w:color w:val="000000"/>
          <w:kern w:val="2"/>
          <w:sz w:val="32"/>
          <w:szCs w:val="32"/>
          <w:lang w:eastAsia="zh-CN"/>
        </w:rPr>
        <w:t xml:space="preserve">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lang w:eastAsia="zh-CN"/>
        </w:rPr>
      </w:pP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（此件公开发布）</w:t>
      </w:r>
    </w:p>
    <w:p>
      <w:pPr>
        <w:pStyle w:val="3"/>
        <w:rPr>
          <w:rFonts w:hint="eastAsia" w:eastAsia="仿宋_GB2312"/>
          <w:highlight w:val="yellow"/>
          <w:lang w:eastAsia="zh-CN"/>
        </w:rPr>
      </w:pP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B2F2947"/>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1F6C7E4"/>
    <w:rsid w:val="32FDCB2B"/>
    <w:rsid w:val="33B94AAA"/>
    <w:rsid w:val="34714342"/>
    <w:rsid w:val="34FF5F01"/>
    <w:rsid w:val="34FF9F5F"/>
    <w:rsid w:val="35B03B5A"/>
    <w:rsid w:val="37EE8979"/>
    <w:rsid w:val="38043EF0"/>
    <w:rsid w:val="386A294D"/>
    <w:rsid w:val="3B5D2A4F"/>
    <w:rsid w:val="3F1B7491"/>
    <w:rsid w:val="3F3B6D32"/>
    <w:rsid w:val="3F9631F0"/>
    <w:rsid w:val="45F50A3C"/>
    <w:rsid w:val="46E42D2C"/>
    <w:rsid w:val="471E5D70"/>
    <w:rsid w:val="48B07C4C"/>
    <w:rsid w:val="49513DE5"/>
    <w:rsid w:val="49F75885"/>
    <w:rsid w:val="4ABC40B8"/>
    <w:rsid w:val="4BE41131"/>
    <w:rsid w:val="4BF7962F"/>
    <w:rsid w:val="4EF957B9"/>
    <w:rsid w:val="4EFD73AF"/>
    <w:rsid w:val="4FBB0857"/>
    <w:rsid w:val="4FDB2438"/>
    <w:rsid w:val="4FF92239"/>
    <w:rsid w:val="50983997"/>
    <w:rsid w:val="509E06F1"/>
    <w:rsid w:val="51075873"/>
    <w:rsid w:val="541C0068"/>
    <w:rsid w:val="58F35A97"/>
    <w:rsid w:val="5A8C3C9C"/>
    <w:rsid w:val="5B8B0DC5"/>
    <w:rsid w:val="5BDD2331"/>
    <w:rsid w:val="5D4E6DD5"/>
    <w:rsid w:val="5DFB44FE"/>
    <w:rsid w:val="5EBC3ACE"/>
    <w:rsid w:val="5EFA53DB"/>
    <w:rsid w:val="5F391542"/>
    <w:rsid w:val="5FDFED6B"/>
    <w:rsid w:val="5FFF3696"/>
    <w:rsid w:val="602F6571"/>
    <w:rsid w:val="62E72A13"/>
    <w:rsid w:val="631604C1"/>
    <w:rsid w:val="662A0EB3"/>
    <w:rsid w:val="6947638C"/>
    <w:rsid w:val="6A3F091C"/>
    <w:rsid w:val="6C37112F"/>
    <w:rsid w:val="6C8D52AD"/>
    <w:rsid w:val="6F712D0C"/>
    <w:rsid w:val="6F9FB125"/>
    <w:rsid w:val="6FF892A9"/>
    <w:rsid w:val="6FFEE713"/>
    <w:rsid w:val="71205B4B"/>
    <w:rsid w:val="76EF2533"/>
    <w:rsid w:val="7A37CF4F"/>
    <w:rsid w:val="7A782B89"/>
    <w:rsid w:val="7BFDD7EC"/>
    <w:rsid w:val="7D5E1AEC"/>
    <w:rsid w:val="7D641176"/>
    <w:rsid w:val="7DDB62D1"/>
    <w:rsid w:val="7EBF8655"/>
    <w:rsid w:val="7EF5736C"/>
    <w:rsid w:val="7EFF9DCD"/>
    <w:rsid w:val="7FFE9891"/>
    <w:rsid w:val="7FFFACE2"/>
    <w:rsid w:val="AEFF5EFF"/>
    <w:rsid w:val="CDD79C97"/>
    <w:rsid w:val="CED9456F"/>
    <w:rsid w:val="D3597323"/>
    <w:rsid w:val="D6FF82F5"/>
    <w:rsid w:val="DAF7B9E4"/>
    <w:rsid w:val="DBDB6759"/>
    <w:rsid w:val="E3D1B28B"/>
    <w:rsid w:val="F7CA5D47"/>
    <w:rsid w:val="F7D6418A"/>
    <w:rsid w:val="FAB0BE9D"/>
    <w:rsid w:val="FAF82354"/>
    <w:rsid w:val="FB79899F"/>
    <w:rsid w:val="FBEF9321"/>
    <w:rsid w:val="FCF4FB91"/>
    <w:rsid w:val="FD175AA0"/>
    <w:rsid w:val="FDA31AD0"/>
    <w:rsid w:val="FE6716B4"/>
    <w:rsid w:val="FFD1F82D"/>
    <w:rsid w:val="FFFE614F"/>
    <w:rsid w:val="FF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2020-12-14T02:26:00Z</dcterms:created>
  <dc:creator>徐霄飞</dc:creator>
  <cp:lastModifiedBy>greatwall</cp:lastModifiedBy>
  <cp:lastPrinted>2021-11-14T00:28:00Z</cp:lastPrinted>
  <dcterms:modified xsi:type="dcterms:W3CDTF">2021-11-19T14:46:17Z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