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ascii="Times New Roman" w:hAnsi="Times New Roman" w:eastAsia="黑体" w:cs="Times New Roman"/>
          <w:bCs/>
          <w:color w:val="000000"/>
          <w:kern w:val="2"/>
          <w:sz w:val="52"/>
          <w:szCs w:val="52"/>
        </w:rPr>
      </w:pPr>
      <w:bookmarkStart w:id="0" w:name="_Toc527378176"/>
      <w:bookmarkStart w:id="1" w:name="_Toc529343112"/>
      <w:bookmarkStart w:id="2" w:name="_Toc23020_WPSOffice_Level1"/>
      <w:bookmarkStart w:id="3" w:name="_Toc528826258"/>
      <w:bookmarkStart w:id="4" w:name="_Toc527306881"/>
      <w:bookmarkStart w:id="5" w:name="_Toc17235"/>
      <w:bookmarkStart w:id="6" w:name="_Toc527562381"/>
      <w:bookmarkStart w:id="27" w:name="_GoBack"/>
      <w:bookmarkEnd w:id="27"/>
      <w:r>
        <w:rPr>
          <w:rFonts w:hint="default" w:ascii="Times New Roman" w:hAnsi="Times New Roman" w:eastAsia="黑体" w:cs="Times New Roman"/>
          <w:bCs/>
          <w:color w:val="000000"/>
          <w:spacing w:val="30"/>
          <w:kern w:val="0"/>
          <w:sz w:val="52"/>
          <w:szCs w:val="52"/>
          <w:fitText w:val="5742" w:id="-1167108"/>
        </w:rPr>
        <w:t>国家市场监督管理总</w:t>
      </w:r>
      <w:r>
        <w:rPr>
          <w:rFonts w:hint="default" w:ascii="Times New Roman" w:hAnsi="Times New Roman" w:eastAsia="黑体" w:cs="Times New Roman"/>
          <w:bCs/>
          <w:color w:val="000000"/>
          <w:spacing w:val="1"/>
          <w:kern w:val="0"/>
          <w:sz w:val="52"/>
          <w:szCs w:val="52"/>
          <w:fitText w:val="5742" w:id="-1167108"/>
        </w:rPr>
        <w:t>局</w:t>
      </w:r>
    </w:p>
    <w:p>
      <w:pPr>
        <w:keepNext w:val="0"/>
        <w:keepLines w:val="0"/>
        <w:pageBreakBefore w:val="0"/>
        <w:widowControl w:val="0"/>
        <w:kinsoku/>
        <w:wordWrap/>
        <w:topLinePunct w:val="0"/>
        <w:bidi w:val="0"/>
        <w:spacing w:line="594" w:lineRule="exact"/>
        <w:jc w:val="center"/>
        <w:textAlignment w:val="auto"/>
        <w:rPr>
          <w:rFonts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0"/>
          <w:sz w:val="52"/>
          <w:szCs w:val="52"/>
          <w:fitText w:val="5742" w:id="-36311865"/>
        </w:rPr>
        <w:t>行政处罚决定</w:t>
      </w:r>
      <w:r>
        <w:rPr>
          <w:rFonts w:hint="default" w:ascii="Times New Roman" w:hAnsi="Times New Roman" w:eastAsia="黑体" w:cs="Times New Roman"/>
          <w:bCs/>
          <w:color w:val="000000"/>
          <w:spacing w:val="1"/>
          <w:kern w:val="0"/>
          <w:sz w:val="52"/>
          <w:szCs w:val="52"/>
          <w:fitText w:val="5742" w:id="-36311865"/>
        </w:rPr>
        <w:t>书</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32"/>
          <w:szCs w:val="32"/>
        </w:rPr>
      </w:pPr>
      <w:bookmarkStart w:id="7" w:name="OLE_LINK6"/>
      <w:r>
        <w:rPr>
          <w:rFonts w:hint="default" w:ascii="Times New Roman" w:hAnsi="Times New Roman" w:eastAsia="仿宋_GB2312" w:cs="Times New Roman"/>
          <w:kern w:val="2"/>
          <w:sz w:val="32"/>
          <w:szCs w:val="32"/>
        </w:rPr>
        <w:t>国市监处</w:t>
      </w:r>
      <w:r>
        <w:rPr>
          <w:rFonts w:hint="eastAsia" w:ascii="Times New Roman" w:hAnsi="Times New Roman" w:eastAsia="仿宋_GB2312" w:cs="Times New Roman"/>
          <w:kern w:val="2"/>
          <w:sz w:val="32"/>
          <w:szCs w:val="32"/>
          <w:lang w:eastAsia="zh-CN"/>
        </w:rPr>
        <w:t>罚</w:t>
      </w: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val="en-US" w:eastAsia="zh-CN"/>
        </w:rPr>
        <w:t>79</w:t>
      </w:r>
      <w:r>
        <w:rPr>
          <w:rFonts w:hint="default" w:ascii="Times New Roman" w:hAnsi="Times New Roman" w:eastAsia="仿宋_GB2312" w:cs="Times New Roman"/>
          <w:kern w:val="2"/>
          <w:sz w:val="32"/>
          <w:szCs w:val="32"/>
        </w:rPr>
        <w:t>号</w:t>
      </w:r>
      <w:bookmarkEnd w:id="7"/>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28"/>
          <w:szCs w:val="28"/>
        </w:rPr>
      </w:pPr>
    </w:p>
    <w:p>
      <w:pPr>
        <w:keepNext w:val="0"/>
        <w:keepLines w:val="0"/>
        <w:pageBreakBefore w:val="0"/>
        <w:widowControl w:val="0"/>
        <w:suppressAutoHyphens/>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当事人：</w:t>
      </w:r>
      <w:bookmarkStart w:id="8" w:name="OLE_LINK1"/>
      <w:r>
        <w:rPr>
          <w:rFonts w:hint="eastAsia" w:ascii="Times New Roman" w:hAnsi="Times New Roman" w:eastAsia="仿宋_GB2312" w:cs="Times New Roman"/>
          <w:bCs w:val="0"/>
          <w:sz w:val="32"/>
          <w:szCs w:val="32"/>
          <w:lang w:val="en-US" w:eastAsia="zh-CN"/>
        </w:rPr>
        <w:t>福建百度博瑞网络科技有限公司</w:t>
      </w:r>
      <w:bookmarkEnd w:id="8"/>
    </w:p>
    <w:p>
      <w:pPr>
        <w:keepNext w:val="0"/>
        <w:keepLines w:val="0"/>
        <w:pageBreakBefore w:val="0"/>
        <w:widowControl w:val="0"/>
        <w:suppressAutoHyphens/>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仿宋_GB2312" w:cs="Times New Roman"/>
          <w:kern w:val="2"/>
          <w:sz w:val="32"/>
          <w:szCs w:val="32"/>
          <w:lang w:eastAsia="zh-CN"/>
        </w:rPr>
      </w:pPr>
      <w:r>
        <w:rPr>
          <w:rFonts w:hint="default" w:ascii="Times New Roman" w:hAnsi="Times New Roman" w:eastAsia="黑体" w:cs="Times New Roman"/>
          <w:kern w:val="2"/>
          <w:sz w:val="32"/>
          <w:szCs w:val="32"/>
        </w:rPr>
        <w:t>住  所：</w:t>
      </w:r>
      <w:r>
        <w:rPr>
          <w:rFonts w:hint="eastAsia" w:ascii="Times New Roman" w:hAnsi="Times New Roman" w:eastAsia="仿宋_GB2312" w:cs="Times New Roman"/>
          <w:kern w:val="2"/>
          <w:sz w:val="32"/>
          <w:szCs w:val="32"/>
          <w:lang w:eastAsia="zh-CN"/>
        </w:rPr>
        <w:t>福建省福州开发区星发路8号火炬创新大厦501-B</w:t>
      </w:r>
    </w:p>
    <w:p>
      <w:pPr>
        <w:keepNext w:val="0"/>
        <w:keepLines w:val="0"/>
        <w:pageBreakBefore w:val="0"/>
        <w:widowControl w:val="0"/>
        <w:suppressAutoHyphens/>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当事人：</w:t>
      </w:r>
      <w:r>
        <w:rPr>
          <w:rFonts w:hint="eastAsia" w:ascii="Times New Roman" w:hAnsi="Times New Roman" w:eastAsia="仿宋_GB2312" w:cs="Times New Roman"/>
          <w:kern w:val="2"/>
          <w:sz w:val="32"/>
          <w:szCs w:val="32"/>
          <w:lang w:val="en-US" w:eastAsia="zh-CN"/>
        </w:rPr>
        <w:t>中信银行股份有限公司</w:t>
      </w:r>
    </w:p>
    <w:p>
      <w:pPr>
        <w:keepNext w:val="0"/>
        <w:keepLines w:val="0"/>
        <w:pageBreakBefore w:val="0"/>
        <w:widowControl w:val="0"/>
        <w:suppressAutoHyphens/>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仿宋_GB2312" w:cs="Times New Roman"/>
          <w:kern w:val="2"/>
          <w:sz w:val="32"/>
          <w:szCs w:val="32"/>
          <w:lang w:eastAsia="zh-CN"/>
        </w:rPr>
      </w:pPr>
      <w:r>
        <w:rPr>
          <w:rFonts w:hint="default" w:ascii="Times New Roman" w:hAnsi="Times New Roman" w:eastAsia="黑体" w:cs="Times New Roman"/>
          <w:kern w:val="2"/>
          <w:sz w:val="32"/>
          <w:szCs w:val="32"/>
        </w:rPr>
        <w:t>住  所</w:t>
      </w:r>
      <w:r>
        <w:rPr>
          <w:rFonts w:hint="default" w:ascii="Times New Roman" w:hAnsi="Times New Roman" w:eastAsia="黑体" w:cs="Times New Roman"/>
          <w:kern w:val="2"/>
          <w:sz w:val="32"/>
          <w:szCs w:val="32"/>
          <w:lang w:eastAsia="zh-CN"/>
        </w:rPr>
        <w:t>：</w:t>
      </w:r>
      <w:r>
        <w:rPr>
          <w:rFonts w:hint="eastAsia" w:ascii="Times New Roman" w:hAnsi="Times New Roman" w:eastAsia="仿宋_GB2312" w:cs="Times New Roman"/>
          <w:kern w:val="2"/>
          <w:sz w:val="32"/>
          <w:szCs w:val="32"/>
          <w:lang w:eastAsia="zh-CN"/>
        </w:rPr>
        <w:t>北京市朝阳区光华路10号院1号楼</w:t>
      </w:r>
    </w:p>
    <w:bookmarkEnd w:id="0"/>
    <w:bookmarkEnd w:id="1"/>
    <w:bookmarkEnd w:id="2"/>
    <w:bookmarkEnd w:id="3"/>
    <w:bookmarkEnd w:id="4"/>
    <w:bookmarkEnd w:id="5"/>
    <w:bookmarkEnd w:id="6"/>
    <w:p>
      <w:pPr>
        <w:keepNext w:val="0"/>
        <w:keepLines w:val="0"/>
        <w:pageBreakBefore w:val="0"/>
        <w:widowControl w:val="0"/>
        <w:kinsoku/>
        <w:wordWrap/>
        <w:topLinePunct w:val="0"/>
        <w:bidi w:val="0"/>
        <w:spacing w:line="594"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topLinePunct w:val="0"/>
        <w:bidi w:val="0"/>
        <w:spacing w:line="594" w:lineRule="exact"/>
        <w:ind w:firstLine="640" w:firstLineChars="20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sz w:val="32"/>
          <w:szCs w:val="32"/>
          <w:lang w:val="en-US" w:eastAsia="zh-CN"/>
        </w:rPr>
        <w:t>根据《中华人民共和国反垄断法》（以下简称《反垄断法》）《经营者集中审查暂行规定》，本机关于2021年8月12日</w:t>
      </w:r>
      <w:r>
        <w:rPr>
          <w:rFonts w:hint="default" w:ascii="Times New Roman" w:hAnsi="Times New Roman" w:eastAsia="仿宋_GB2312" w:cs="Times New Roman"/>
          <w:kern w:val="2"/>
          <w:sz w:val="32"/>
          <w:szCs w:val="32"/>
        </w:rPr>
        <w:t>，对</w:t>
      </w:r>
      <w:bookmarkStart w:id="9" w:name="OLE_LINK13"/>
      <w:bookmarkStart w:id="10" w:name="OLE_LINK42"/>
      <w:bookmarkStart w:id="11" w:name="OLE_LINK4"/>
      <w:bookmarkStart w:id="12" w:name="OLE_LINK86"/>
      <w:bookmarkStart w:id="13" w:name="OLE_LINK7"/>
      <w:bookmarkStart w:id="14" w:name="OLE_LINK41"/>
      <w:bookmarkStart w:id="15" w:name="OLE_LINK47"/>
      <w:r>
        <w:rPr>
          <w:rFonts w:hint="eastAsia" w:ascii="Times New Roman" w:hAnsi="Times New Roman" w:eastAsia="仿宋_GB2312" w:cs="Times New Roman"/>
          <w:sz w:val="32"/>
          <w:szCs w:val="32"/>
          <w:lang w:val="en-US" w:eastAsia="zh-CN"/>
        </w:rPr>
        <w:t>福建百度博瑞网络科技有限公司与中信银行股份有限公司（以下分别简称百度、中信银行）新设合营企业涉嫌未依法申报违法实施经营者集中案</w:t>
      </w:r>
      <w:bookmarkEnd w:id="9"/>
      <w:bookmarkEnd w:id="10"/>
      <w:bookmarkEnd w:id="11"/>
      <w:bookmarkEnd w:id="12"/>
      <w:bookmarkEnd w:id="13"/>
      <w:bookmarkEnd w:id="14"/>
      <w:bookmarkEnd w:id="15"/>
      <w:r>
        <w:rPr>
          <w:rFonts w:hint="default" w:ascii="Times New Roman" w:hAnsi="Times New Roman" w:eastAsia="仿宋_GB2312" w:cs="Times New Roman"/>
          <w:kern w:val="2"/>
          <w:sz w:val="32"/>
          <w:szCs w:val="32"/>
        </w:rPr>
        <w:t>进行立案调查。</w:t>
      </w:r>
    </w:p>
    <w:p>
      <w:pPr>
        <w:keepNext w:val="0"/>
        <w:keepLines w:val="0"/>
        <w:pageBreakBefore w:val="0"/>
        <w:widowControl w:val="0"/>
        <w:kinsoku/>
        <w:wordWrap/>
        <w:topLinePunct w:val="0"/>
        <w:bidi w:val="0"/>
        <w:spacing w:line="594"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经查，该案构成未依法申报违法实施的经营者集中，但不具有排除、限制竞争的效果。本机关按照《</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kern w:val="2"/>
          <w:sz w:val="32"/>
          <w:szCs w:val="32"/>
          <w:lang w:eastAsia="zh-CN"/>
        </w:rPr>
        <w:t>（以下简称</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的规定，向</w:t>
      </w:r>
      <w:r>
        <w:rPr>
          <w:rFonts w:hint="eastAsia" w:ascii="Times New Roman" w:hAnsi="Times New Roman" w:eastAsia="仿宋_GB2312" w:cs="Times New Roman"/>
          <w:kern w:val="2"/>
          <w:sz w:val="32"/>
          <w:szCs w:val="32"/>
          <w:lang w:eastAsia="zh-CN"/>
        </w:rPr>
        <w:t>百度、中信银行</w:t>
      </w:r>
      <w:r>
        <w:rPr>
          <w:rFonts w:hint="default" w:ascii="Times New Roman" w:hAnsi="Times New Roman" w:eastAsia="仿宋_GB2312" w:cs="Times New Roman"/>
          <w:kern w:val="2"/>
          <w:sz w:val="32"/>
          <w:szCs w:val="32"/>
        </w:rPr>
        <w:t>送达了《行政处罚告知书》，</w:t>
      </w:r>
      <w:r>
        <w:rPr>
          <w:rFonts w:hint="default" w:ascii="Times New Roman" w:hAnsi="Times New Roman" w:eastAsia="仿宋_GB2312" w:cs="Times New Roman"/>
          <w:color w:val="auto"/>
          <w:kern w:val="2"/>
          <w:sz w:val="32"/>
          <w:szCs w:val="32"/>
        </w:rPr>
        <w:t>告知</w:t>
      </w:r>
      <w:r>
        <w:rPr>
          <w:rFonts w:hint="eastAsia"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拟作出</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行政处罚</w:t>
      </w:r>
      <w:r>
        <w:rPr>
          <w:rFonts w:hint="eastAsia" w:eastAsia="仿宋_GB2312" w:cs="Times New Roman"/>
          <w:color w:val="auto"/>
          <w:kern w:val="2"/>
          <w:sz w:val="32"/>
          <w:szCs w:val="32"/>
          <w:lang w:eastAsia="zh-CN"/>
        </w:rPr>
        <w:t>内容及</w:t>
      </w:r>
      <w:r>
        <w:rPr>
          <w:rFonts w:hint="default" w:ascii="Times New Roman" w:hAnsi="Times New Roman" w:eastAsia="仿宋_GB2312" w:cs="Times New Roman"/>
          <w:color w:val="auto"/>
          <w:kern w:val="2"/>
          <w:sz w:val="32"/>
          <w:szCs w:val="32"/>
        </w:rPr>
        <w:t>事实、理由、</w:t>
      </w:r>
      <w:r>
        <w:rPr>
          <w:rFonts w:hint="eastAsia" w:eastAsia="仿宋_GB2312" w:cs="Times New Roman"/>
          <w:color w:val="auto"/>
          <w:kern w:val="2"/>
          <w:sz w:val="32"/>
          <w:szCs w:val="32"/>
          <w:lang w:eastAsia="zh-CN"/>
        </w:rPr>
        <w:t>依据</w:t>
      </w:r>
      <w:r>
        <w:rPr>
          <w:rFonts w:hint="default" w:ascii="Times New Roman" w:hAnsi="Times New Roman" w:eastAsia="仿宋_GB2312" w:cs="Times New Roman"/>
          <w:color w:val="auto"/>
          <w:kern w:val="2"/>
          <w:sz w:val="32"/>
          <w:szCs w:val="32"/>
        </w:rPr>
        <w:t>，</w:t>
      </w:r>
      <w:r>
        <w:rPr>
          <w:rFonts w:hint="eastAsia" w:eastAsia="仿宋_GB2312" w:cs="Times New Roman"/>
          <w:color w:val="auto"/>
          <w:kern w:val="2"/>
          <w:sz w:val="32"/>
          <w:szCs w:val="32"/>
          <w:lang w:eastAsia="zh-CN"/>
        </w:rPr>
        <w:t>并告知当事人</w:t>
      </w:r>
      <w:r>
        <w:rPr>
          <w:rFonts w:hint="default" w:ascii="Times New Roman" w:hAnsi="Times New Roman" w:eastAsia="仿宋_GB2312" w:cs="Times New Roman"/>
          <w:color w:val="auto"/>
          <w:kern w:val="2"/>
          <w:sz w:val="32"/>
          <w:szCs w:val="32"/>
        </w:rPr>
        <w:t>依法享有的陈述、申辩</w:t>
      </w:r>
      <w:r>
        <w:rPr>
          <w:rFonts w:hint="eastAsia"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要求听证</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权</w:t>
      </w:r>
      <w:r>
        <w:rPr>
          <w:rFonts w:hint="eastAsia" w:eastAsia="仿宋_GB2312" w:cs="Times New Roman"/>
          <w:color w:val="auto"/>
          <w:kern w:val="2"/>
          <w:sz w:val="32"/>
          <w:szCs w:val="32"/>
          <w:lang w:eastAsia="zh-CN"/>
        </w:rPr>
        <w:t>利</w:t>
      </w: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kern w:val="2"/>
          <w:sz w:val="32"/>
          <w:szCs w:val="32"/>
          <w:lang w:eastAsia="zh-CN"/>
        </w:rPr>
        <w:t>百度、中信银行</w:t>
      </w:r>
      <w:r>
        <w:rPr>
          <w:rFonts w:hint="default" w:ascii="Times New Roman" w:hAnsi="Times New Roman" w:eastAsia="仿宋_GB2312" w:cs="Times New Roman"/>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（一）交易方。</w:t>
      </w:r>
    </w:p>
    <w:p>
      <w:pPr>
        <w:pStyle w:val="14"/>
        <w:spacing w:line="594" w:lineRule="exact"/>
        <w:ind w:firstLine="643"/>
        <w:rPr>
          <w:rFonts w:hint="default" w:ascii="Times New Roman" w:hAnsi="Times New Roman" w:cs="Times New Roman"/>
          <w:b w:val="0"/>
          <w:bCs/>
          <w:u w:val="none"/>
          <w:lang w:eastAsia="zh-CN"/>
        </w:rPr>
      </w:pPr>
      <w:r>
        <w:rPr>
          <w:rFonts w:hint="default" w:ascii="Times New Roman" w:hAnsi="Times New Roman" w:cs="Times New Roman"/>
          <w:b/>
          <w:u w:val="none"/>
          <w:lang w:eastAsia="zh-CN"/>
        </w:rPr>
        <w:t>合营方一：百度。</w:t>
      </w:r>
      <w:r>
        <w:rPr>
          <w:rFonts w:hint="default" w:ascii="Times New Roman" w:hAnsi="Times New Roman" w:cs="Times New Roman"/>
          <w:b w:val="0"/>
          <w:bCs/>
          <w:u w:val="none"/>
          <w:lang w:eastAsia="zh-CN"/>
        </w:rPr>
        <w:t>20</w:t>
      </w:r>
      <w:r>
        <w:rPr>
          <w:rFonts w:hint="default" w:ascii="Times New Roman" w:hAnsi="Times New Roman" w:cs="Times New Roman"/>
          <w:b w:val="0"/>
          <w:bCs/>
          <w:u w:val="none"/>
          <w:lang w:val="en-US" w:eastAsia="zh-CN"/>
        </w:rPr>
        <w:t>11</w:t>
      </w:r>
      <w:r>
        <w:rPr>
          <w:rFonts w:hint="default" w:ascii="Times New Roman" w:hAnsi="Times New Roman" w:cs="Times New Roman"/>
          <w:b w:val="0"/>
          <w:bCs/>
          <w:u w:val="none"/>
          <w:lang w:eastAsia="zh-CN"/>
        </w:rPr>
        <w:t>年在福建省福州市注册成立，主要从事移动生态、基于人工智能技术的智能云、智能生活、智能交通等业务。201</w:t>
      </w:r>
      <w:r>
        <w:rPr>
          <w:rFonts w:hint="default" w:ascii="Times New Roman" w:hAnsi="Times New Roman" w:cs="Times New Roman"/>
          <w:b w:val="0"/>
          <w:bCs/>
          <w:u w:val="none"/>
          <w:lang w:val="en-US" w:eastAsia="zh-CN"/>
        </w:rPr>
        <w:t>4</w:t>
      </w:r>
      <w:r>
        <w:rPr>
          <w:rFonts w:hint="default" w:ascii="Times New Roman" w:hAnsi="Times New Roman" w:cs="Times New Roman"/>
          <w:b w:val="0"/>
          <w:bCs/>
          <w:u w:val="none"/>
          <w:lang w:eastAsia="zh-CN"/>
        </w:rPr>
        <w:t>年全球营业额为</w:t>
      </w:r>
      <w:r>
        <w:rPr>
          <w:rFonts w:hint="default" w:ascii="Times New Roman" w:hAnsi="Times New Roman" w:cs="Times New Roman"/>
          <w:b w:val="0"/>
          <w:bCs/>
          <w:u w:val="none"/>
          <w:lang w:val="en-US" w:eastAsia="zh-CN"/>
        </w:rPr>
        <w:t>（略）</w:t>
      </w:r>
      <w:r>
        <w:rPr>
          <w:rFonts w:hint="default" w:ascii="Times New Roman" w:hAnsi="Times New Roman" w:cs="Times New Roman"/>
          <w:b w:val="0"/>
          <w:bCs/>
          <w:u w:val="none"/>
          <w:lang w:eastAsia="zh-CN"/>
        </w:rPr>
        <w:t>人民币（币种下同），中国境内营业额为</w:t>
      </w:r>
      <w:r>
        <w:rPr>
          <w:rFonts w:hint="default" w:ascii="Times New Roman" w:hAnsi="Times New Roman" w:cs="Times New Roman"/>
          <w:b w:val="0"/>
          <w:bCs/>
          <w:u w:val="none"/>
          <w:lang w:val="en-US" w:eastAsia="zh-CN"/>
        </w:rPr>
        <w:t>（略）</w:t>
      </w:r>
      <w:r>
        <w:rPr>
          <w:rFonts w:hint="default" w:ascii="Times New Roman" w:hAnsi="Times New Roman" w:cs="Times New Roman"/>
          <w:b w:val="0"/>
          <w:bCs/>
          <w:u w:val="none"/>
          <w:lang w:eastAsia="zh-CN"/>
        </w:rPr>
        <w:t>。</w:t>
      </w:r>
    </w:p>
    <w:p>
      <w:pPr>
        <w:pStyle w:val="14"/>
        <w:spacing w:line="594" w:lineRule="exact"/>
        <w:ind w:firstLine="643"/>
        <w:rPr>
          <w:rFonts w:hint="default" w:ascii="Times New Roman" w:hAnsi="Times New Roman" w:cs="Times New Roman"/>
          <w:bCs/>
          <w:u w:val="none"/>
          <w:lang w:val="en-US" w:eastAsia="zh-CN"/>
        </w:rPr>
      </w:pPr>
      <w:r>
        <w:rPr>
          <w:rFonts w:hint="default" w:ascii="Times New Roman" w:hAnsi="Times New Roman" w:cs="Times New Roman"/>
          <w:b/>
          <w:u w:val="none"/>
          <w:lang w:eastAsia="zh-CN"/>
        </w:rPr>
        <w:t>合营方二：中信银行。</w:t>
      </w:r>
      <w:r>
        <w:rPr>
          <w:rFonts w:hint="default" w:ascii="Times New Roman" w:hAnsi="Times New Roman" w:cs="Times New Roman"/>
          <w:b w:val="0"/>
          <w:bCs/>
          <w:u w:val="none"/>
          <w:lang w:val="en-US" w:eastAsia="zh-CN"/>
        </w:rPr>
        <w:t>1987</w:t>
      </w:r>
      <w:r>
        <w:rPr>
          <w:rFonts w:hint="default" w:ascii="Times New Roman" w:hAnsi="Times New Roman" w:cs="Times New Roman"/>
          <w:b w:val="0"/>
          <w:bCs/>
          <w:u w:val="none"/>
          <w:lang w:eastAsia="zh-CN"/>
        </w:rPr>
        <w:t>年在北京市注册成立，主要从事公司银行业务、国际业务、零售银行、信用卡等业务。201</w:t>
      </w:r>
      <w:r>
        <w:rPr>
          <w:rFonts w:hint="default" w:ascii="Times New Roman" w:hAnsi="Times New Roman" w:cs="Times New Roman"/>
          <w:b w:val="0"/>
          <w:bCs/>
          <w:u w:val="none"/>
          <w:lang w:val="en-US" w:eastAsia="zh-CN"/>
        </w:rPr>
        <w:t>4</w:t>
      </w:r>
      <w:r>
        <w:rPr>
          <w:rFonts w:hint="default" w:ascii="Times New Roman" w:hAnsi="Times New Roman" w:cs="Times New Roman"/>
          <w:b w:val="0"/>
          <w:bCs/>
          <w:u w:val="none"/>
          <w:lang w:eastAsia="zh-CN"/>
        </w:rPr>
        <w:t>年全球营业额为</w:t>
      </w:r>
      <w:r>
        <w:rPr>
          <w:rFonts w:hint="default" w:ascii="Times New Roman" w:hAnsi="Times New Roman" w:cs="Times New Roman"/>
          <w:b w:val="0"/>
          <w:bCs/>
          <w:u w:val="none"/>
          <w:lang w:val="en-US" w:eastAsia="zh-CN"/>
        </w:rPr>
        <w:t>（略）</w:t>
      </w:r>
      <w:r>
        <w:rPr>
          <w:rFonts w:hint="default" w:ascii="Times New Roman" w:hAnsi="Times New Roman" w:cs="Times New Roman"/>
          <w:b w:val="0"/>
          <w:bCs/>
          <w:u w:val="none"/>
          <w:lang w:eastAsia="zh-CN"/>
        </w:rPr>
        <w:t>，中国境内营业额为</w:t>
      </w:r>
      <w:r>
        <w:rPr>
          <w:rFonts w:hint="default" w:ascii="Times New Roman" w:hAnsi="Times New Roman" w:cs="Times New Roman"/>
          <w:b w:val="0"/>
          <w:bCs/>
          <w:u w:val="none"/>
          <w:lang w:val="en-US" w:eastAsia="zh-CN"/>
        </w:rPr>
        <w:t>（略）</w:t>
      </w:r>
      <w:r>
        <w:rPr>
          <w:rFonts w:hint="default" w:ascii="Times New Roman" w:hAnsi="Times New Roman" w:cs="Times New Roman"/>
          <w:b w:val="0"/>
          <w:bCs/>
          <w:u w:val="none"/>
          <w:lang w:eastAsia="zh-CN"/>
        </w:rPr>
        <w:t>。</w:t>
      </w:r>
    </w:p>
    <w:p>
      <w:pPr>
        <w:keepNext w:val="0"/>
        <w:keepLines w:val="0"/>
        <w:pageBreakBefore w:val="0"/>
        <w:widowControl w:val="0"/>
        <w:kinsoku/>
        <w:wordWrap/>
        <w:topLinePunct w:val="0"/>
        <w:bidi w:val="0"/>
        <w:spacing w:line="594" w:lineRule="exact"/>
        <w:ind w:firstLine="640" w:firstLineChars="200"/>
        <w:textAlignment w:val="auto"/>
        <w:outlineLvl w:val="0"/>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（二）交易概况。</w:t>
      </w:r>
    </w:p>
    <w:p>
      <w:pPr>
        <w:pStyle w:val="14"/>
        <w:spacing w:line="594" w:lineRule="exact"/>
        <w:ind w:firstLine="640"/>
        <w:rPr>
          <w:rFonts w:hint="default" w:ascii="Times New Roman" w:hAnsi="Times New Roman" w:cs="Times New Roman"/>
          <w:bCs/>
          <w:u w:val="none"/>
        </w:rPr>
      </w:pPr>
      <w:bookmarkStart w:id="16" w:name="OLE_LINK29"/>
      <w:bookmarkStart w:id="17" w:name="OLE_LINK24"/>
      <w:bookmarkStart w:id="18" w:name="OLE_LINK11"/>
      <w:r>
        <w:rPr>
          <w:rFonts w:hint="default" w:ascii="Times New Roman" w:hAnsi="Times New Roman" w:eastAsia="仿宋_GB2312" w:cs="Times New Roman"/>
          <w:sz w:val="32"/>
          <w:szCs w:val="32"/>
          <w:lang w:val="en-US" w:eastAsia="zh-CN"/>
        </w:rPr>
        <w:t>本交易</w:t>
      </w:r>
      <w:r>
        <w:rPr>
          <w:rFonts w:hint="default" w:ascii="Times New Roman" w:hAnsi="Times New Roman" w:cs="Times New Roman"/>
          <w:sz w:val="32"/>
          <w:szCs w:val="32"/>
          <w:lang w:val="en-US" w:eastAsia="zh-CN"/>
        </w:rPr>
        <w:t>为</w:t>
      </w:r>
      <w:r>
        <w:rPr>
          <w:rFonts w:hint="default" w:ascii="Times New Roman" w:hAnsi="Times New Roman" w:eastAsia="仿宋_GB2312" w:cs="Times New Roman"/>
          <w:sz w:val="32"/>
          <w:szCs w:val="32"/>
          <w:lang w:val="en-US" w:eastAsia="zh-CN"/>
        </w:rPr>
        <w:t>新设合营企业。</w:t>
      </w:r>
      <w:bookmarkStart w:id="19" w:name="OLE_LINK2"/>
      <w:r>
        <w:rPr>
          <w:rFonts w:hint="default" w:ascii="Times New Roman" w:hAnsi="Times New Roman" w:eastAsia="仿宋_GB2312" w:cs="Times New Roman"/>
          <w:sz w:val="32"/>
          <w:szCs w:val="32"/>
          <w:lang w:val="en-US" w:eastAsia="zh-CN"/>
        </w:rPr>
        <w:t>2015年11月，百度与中信银行签订协议，共同设立合营企业。</w:t>
      </w:r>
      <w:bookmarkStart w:id="20" w:name="OLE_LINK10"/>
      <w:r>
        <w:rPr>
          <w:rFonts w:hint="default" w:ascii="Times New Roman" w:hAnsi="Times New Roman" w:eastAsia="仿宋_GB2312" w:cs="Times New Roman"/>
          <w:sz w:val="32"/>
          <w:szCs w:val="32"/>
          <w:lang w:val="en-US" w:eastAsia="zh-CN"/>
        </w:rPr>
        <w:t>交易完成后，百度和中信银行分别持有合营企业30%、70%股权，共同控制合营企业。</w:t>
      </w:r>
      <w:bookmarkEnd w:id="19"/>
      <w:bookmarkEnd w:id="20"/>
      <w:r>
        <w:rPr>
          <w:rFonts w:hint="default" w:ascii="Times New Roman" w:hAnsi="Times New Roman" w:eastAsia="仿宋_GB2312" w:cs="Times New Roman"/>
          <w:sz w:val="32"/>
          <w:szCs w:val="32"/>
          <w:lang w:val="en-US" w:eastAsia="zh-CN"/>
        </w:rPr>
        <w:t>2017年9月5日，合营企业设立。</w:t>
      </w:r>
      <w:bookmarkEnd w:id="16"/>
      <w:bookmarkEnd w:id="17"/>
      <w:bookmarkEnd w:id="18"/>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（一）本案构成未依法申报违法实施的经营者集中。</w:t>
      </w:r>
    </w:p>
    <w:p>
      <w:pPr>
        <w:pageBreakBefore w:val="0"/>
        <w:suppressAutoHyphens/>
        <w:kinsoku/>
        <w:wordWrap/>
        <w:overflowPunct w:val="0"/>
        <w:topLinePunct w:val="0"/>
        <w:autoSpaceDE w:val="0"/>
        <w:autoSpaceDN w:val="0"/>
        <w:bidi w:val="0"/>
        <w:adjustRightInd w:val="0"/>
        <w:spacing w:line="594" w:lineRule="exact"/>
        <w:ind w:left="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bookmarkStart w:id="21" w:name="OLE_LINK48"/>
      <w:bookmarkStart w:id="22" w:name="OLE_LINK50"/>
      <w:bookmarkStart w:id="23" w:name="OLE_LINK25"/>
      <w:r>
        <w:rPr>
          <w:rFonts w:hint="eastAsia" w:ascii="Times New Roman" w:hAnsi="Times New Roman" w:eastAsia="仿宋_GB2312" w:cs="Times New Roman"/>
          <w:sz w:val="32"/>
          <w:szCs w:val="32"/>
          <w:lang w:val="en-US" w:eastAsia="zh-CN"/>
        </w:rPr>
        <w:t>2015年11月，百度与中信银行签订协议，共同设立合营企业，取得合营企业控制权，属于《反垄断法》第二十条规定的经营者集中。</w:t>
      </w:r>
      <w:bookmarkEnd w:id="21"/>
      <w:bookmarkEnd w:id="22"/>
      <w:bookmarkEnd w:id="23"/>
    </w:p>
    <w:p>
      <w:pPr>
        <w:keepNext w:val="0"/>
        <w:keepLines w:val="0"/>
        <w:pageBreakBefore w:val="0"/>
        <w:widowControl w:val="0"/>
        <w:kinsoku/>
        <w:wordWrap/>
        <w:topLinePunct w:val="0"/>
        <w:bidi w:val="0"/>
        <w:spacing w:line="594" w:lineRule="exact"/>
        <w:ind w:firstLine="640" w:firstLineChars="200"/>
        <w:textAlignment w:val="auto"/>
        <w:rPr>
          <w:rFonts w:hint="default" w:ascii="Times New Roman" w:hAnsi="Times New Roman" w:eastAsia="仿宋_GB2312" w:cs="Times New Roman"/>
          <w:kern w:val="2"/>
          <w:sz w:val="32"/>
          <w:szCs w:val="32"/>
        </w:rPr>
      </w:pPr>
      <w:bookmarkStart w:id="24" w:name="OLE_LINK49"/>
      <w:bookmarkStart w:id="25" w:name="OLE_LINK26"/>
      <w:r>
        <w:rPr>
          <w:rFonts w:hint="default" w:ascii="Times New Roman" w:hAnsi="Times New Roman" w:eastAsia="仿宋_GB2312" w:cs="Times New Roman"/>
          <w:kern w:val="2"/>
          <w:sz w:val="32"/>
          <w:szCs w:val="32"/>
          <w:lang w:eastAsia="zh-CN"/>
        </w:rPr>
        <w:t>百度</w:t>
      </w:r>
      <w:r>
        <w:rPr>
          <w:rFonts w:hint="default" w:ascii="Times New Roman" w:hAnsi="Times New Roman" w:eastAsia="仿宋_GB2312" w:cs="Times New Roman"/>
          <w:kern w:val="2"/>
          <w:sz w:val="32"/>
          <w:szCs w:val="32"/>
          <w:lang w:val="en-US" w:eastAsia="zh-CN"/>
        </w:rPr>
        <w:t>2014</w:t>
      </w:r>
      <w:r>
        <w:rPr>
          <w:rFonts w:hint="default" w:ascii="Times New Roman" w:hAnsi="Times New Roman" w:eastAsia="仿宋_GB2312" w:cs="Times New Roman"/>
          <w:kern w:val="2"/>
          <w:sz w:val="32"/>
          <w:szCs w:val="32"/>
          <w:lang w:eastAsia="zh-CN"/>
        </w:rPr>
        <w:t>年全球营业额为</w:t>
      </w:r>
      <w:r>
        <w:rPr>
          <w:rFonts w:hint="default" w:ascii="Times New Roman" w:hAnsi="Times New Roman" w:eastAsia="仿宋_GB2312" w:cs="Times New Roman"/>
          <w:kern w:val="2"/>
          <w:sz w:val="32"/>
          <w:szCs w:val="32"/>
          <w:lang w:val="en-US" w:eastAsia="zh-CN"/>
        </w:rPr>
        <w:t>（略）</w:t>
      </w:r>
      <w:r>
        <w:rPr>
          <w:rFonts w:hint="default" w:ascii="Times New Roman" w:hAnsi="Times New Roman" w:eastAsia="仿宋_GB2312" w:cs="Times New Roman"/>
          <w:kern w:val="2"/>
          <w:sz w:val="32"/>
          <w:szCs w:val="32"/>
          <w:lang w:eastAsia="zh-CN"/>
        </w:rPr>
        <w:t>，中国境内营业额为</w:t>
      </w:r>
      <w:r>
        <w:rPr>
          <w:rFonts w:hint="default" w:ascii="Times New Roman" w:hAnsi="Times New Roman" w:eastAsia="仿宋_GB2312" w:cs="Times New Roman"/>
          <w:kern w:val="2"/>
          <w:sz w:val="32"/>
          <w:szCs w:val="32"/>
          <w:lang w:val="en-US" w:eastAsia="zh-CN"/>
        </w:rPr>
        <w:t>（略）</w:t>
      </w:r>
      <w:r>
        <w:rPr>
          <w:rFonts w:hint="default" w:ascii="Times New Roman" w:hAnsi="Times New Roman" w:eastAsia="仿宋_GB2312" w:cs="Times New Roman"/>
          <w:kern w:val="2"/>
          <w:sz w:val="32"/>
          <w:szCs w:val="32"/>
          <w:lang w:eastAsia="zh-CN"/>
        </w:rPr>
        <w:t>；中信银行201</w:t>
      </w:r>
      <w:r>
        <w:rPr>
          <w:rFonts w:hint="default" w:ascii="Times New Roman" w:hAnsi="Times New Roman" w:eastAsia="仿宋_GB2312" w:cs="Times New Roman"/>
          <w:kern w:val="2"/>
          <w:sz w:val="32"/>
          <w:szCs w:val="32"/>
          <w:lang w:val="en-US" w:eastAsia="zh-CN"/>
        </w:rPr>
        <w:t>4</w:t>
      </w:r>
      <w:r>
        <w:rPr>
          <w:rFonts w:hint="default" w:ascii="Times New Roman" w:hAnsi="Times New Roman" w:eastAsia="仿宋_GB2312" w:cs="Times New Roman"/>
          <w:kern w:val="2"/>
          <w:sz w:val="32"/>
          <w:szCs w:val="32"/>
          <w:lang w:eastAsia="zh-CN"/>
        </w:rPr>
        <w:t>年全球营业额为</w:t>
      </w:r>
      <w:r>
        <w:rPr>
          <w:rFonts w:hint="default" w:ascii="Times New Roman" w:hAnsi="Times New Roman" w:eastAsia="仿宋_GB2312" w:cs="Times New Roman"/>
          <w:kern w:val="2"/>
          <w:sz w:val="32"/>
          <w:szCs w:val="32"/>
          <w:lang w:val="en-US" w:eastAsia="zh-CN"/>
        </w:rPr>
        <w:t>（略）</w:t>
      </w:r>
      <w:r>
        <w:rPr>
          <w:rFonts w:hint="default" w:ascii="Times New Roman" w:hAnsi="Times New Roman" w:eastAsia="仿宋_GB2312" w:cs="Times New Roman"/>
          <w:kern w:val="2"/>
          <w:sz w:val="32"/>
          <w:szCs w:val="32"/>
          <w:lang w:eastAsia="zh-CN"/>
        </w:rPr>
        <w:t>，中国境内营业额为</w:t>
      </w:r>
      <w:r>
        <w:rPr>
          <w:rFonts w:hint="default" w:ascii="Times New Roman" w:hAnsi="Times New Roman" w:eastAsia="仿宋_GB2312" w:cs="Times New Roman"/>
          <w:kern w:val="2"/>
          <w:sz w:val="32"/>
          <w:szCs w:val="32"/>
          <w:lang w:val="en-US" w:eastAsia="zh-CN"/>
        </w:rPr>
        <w:t>（略）</w:t>
      </w:r>
      <w:r>
        <w:rPr>
          <w:rFonts w:hint="default" w:ascii="Times New Roman" w:hAnsi="Times New Roman" w:eastAsia="仿宋_GB2312" w:cs="Times New Roman"/>
          <w:kern w:val="2"/>
          <w:sz w:val="32"/>
          <w:szCs w:val="32"/>
          <w:lang w:eastAsia="zh-CN"/>
        </w:rPr>
        <w:t>，达到《国务院关于经营者集中申报标准的规定》第三条规定的申报标准，属于应当申报的情形。</w:t>
      </w:r>
      <w:bookmarkEnd w:id="24"/>
      <w:bookmarkEnd w:id="25"/>
    </w:p>
    <w:p>
      <w:pPr>
        <w:keepNext w:val="0"/>
        <w:keepLines w:val="0"/>
        <w:pageBreakBefore w:val="0"/>
        <w:widowControl w:val="0"/>
        <w:kinsoku/>
        <w:wordWrap/>
        <w:topLinePunct w:val="0"/>
        <w:bidi w:val="0"/>
        <w:spacing w:line="594" w:lineRule="exact"/>
        <w:ind w:firstLine="627"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w:t>
      </w:r>
      <w:bookmarkStart w:id="26" w:name="OLE_LINK27"/>
      <w:r>
        <w:rPr>
          <w:rFonts w:hint="default" w:ascii="Times New Roman" w:hAnsi="Times New Roman" w:eastAsia="仿宋_GB2312" w:cs="Times New Roman"/>
          <w:sz w:val="32"/>
          <w:szCs w:val="32"/>
          <w:lang w:val="en-US" w:eastAsia="zh-CN"/>
        </w:rPr>
        <w:t>2017年9月5日，合营企业设立，在此之前未依法申报，</w:t>
      </w:r>
      <w:r>
        <w:rPr>
          <w:rFonts w:hint="default" w:ascii="Times New Roman" w:hAnsi="Times New Roman" w:eastAsia="仿宋_GB2312" w:cs="Times New Roman"/>
          <w:sz w:val="32"/>
          <w:szCs w:val="32"/>
          <w:lang w:eastAsia="zh-CN"/>
        </w:rPr>
        <w:t>违反《反垄断法》第二十一条，构成违法实施的经营者集中。</w:t>
      </w:r>
      <w:bookmarkEnd w:id="26"/>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（二）本案不具有排除、限制竞争的效果。</w:t>
      </w:r>
    </w:p>
    <w:p>
      <w:pPr>
        <w:keepNext w:val="0"/>
        <w:keepLines w:val="0"/>
        <w:pageBreakBefore w:val="0"/>
        <w:widowControl w:val="0"/>
        <w:kinsoku/>
        <w:wordWrap/>
        <w:topLinePunct w:val="0"/>
        <w:bidi w:val="0"/>
        <w:spacing w:line="594" w:lineRule="exact"/>
        <w:ind w:firstLine="640"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eastAsia" w:ascii="Times New Roman" w:hAnsi="Times New Roman" w:eastAsia="仿宋_GB2312" w:cs="Times New Roman"/>
          <w:kern w:val="2"/>
          <w:sz w:val="32"/>
          <w:szCs w:val="32"/>
          <w:lang w:eastAsia="zh-CN"/>
        </w:rPr>
        <w:t>百度与中信银行新设合营企业</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94" w:lineRule="exact"/>
        <w:ind w:firstLine="645"/>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kinsoku/>
        <w:wordWrap/>
        <w:topLinePunct w:val="0"/>
        <w:bidi w:val="0"/>
        <w:spacing w:line="594" w:lineRule="exact"/>
        <w:ind w:firstLine="645"/>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基于上述调查情况和评估结论，本机关</w:t>
      </w:r>
      <w:r>
        <w:rPr>
          <w:rFonts w:hint="eastAsia" w:ascii="Times New Roman" w:hAnsi="Times New Roman" w:eastAsia="仿宋_GB2312" w:cs="Times New Roman"/>
          <w:bCs/>
          <w:color w:val="000000"/>
          <w:kern w:val="2"/>
          <w:sz w:val="32"/>
          <w:szCs w:val="32"/>
          <w:lang w:val="en-US" w:eastAsia="zh-CN"/>
        </w:rPr>
        <w:t>决定</w:t>
      </w:r>
      <w:r>
        <w:rPr>
          <w:rFonts w:hint="eastAsia" w:ascii="Times New Roman" w:hAnsi="Times New Roman" w:eastAsia="仿宋_GB2312" w:cs="Times New Roman"/>
          <w:bCs/>
          <w:color w:val="000000"/>
          <w:kern w:val="2"/>
          <w:sz w:val="32"/>
          <w:szCs w:val="32"/>
          <w:lang w:eastAsia="zh-CN"/>
        </w:rPr>
        <w:t>分别</w:t>
      </w:r>
      <w:r>
        <w:rPr>
          <w:rFonts w:hint="default" w:ascii="Times New Roman" w:hAnsi="Times New Roman" w:eastAsia="仿宋_GB2312" w:cs="Times New Roman"/>
          <w:bCs/>
          <w:color w:val="000000"/>
          <w:kern w:val="2"/>
          <w:sz w:val="32"/>
          <w:szCs w:val="32"/>
        </w:rPr>
        <w:t>给予</w:t>
      </w:r>
      <w:r>
        <w:rPr>
          <w:rFonts w:hint="eastAsia" w:ascii="Times New Roman" w:hAnsi="Times New Roman" w:eastAsia="仿宋_GB2312" w:cs="Times New Roman"/>
          <w:bCs/>
          <w:color w:val="000000"/>
          <w:kern w:val="2"/>
          <w:sz w:val="32"/>
          <w:szCs w:val="32"/>
          <w:lang w:val="en-US" w:eastAsia="zh-CN"/>
        </w:rPr>
        <w:t>百度、中信银行</w:t>
      </w:r>
      <w:r>
        <w:rPr>
          <w:rFonts w:hint="default" w:ascii="Times New Roman" w:hAnsi="Times New Roman" w:eastAsia="仿宋_GB2312" w:cs="Times New Roman"/>
          <w:bCs/>
          <w:color w:val="000000"/>
          <w:kern w:val="2"/>
          <w:sz w:val="32"/>
          <w:szCs w:val="32"/>
          <w:lang w:val="en-US" w:eastAsia="zh-CN"/>
        </w:rPr>
        <w:t>50万元</w:t>
      </w:r>
      <w:r>
        <w:rPr>
          <w:rFonts w:hint="default" w:ascii="Times New Roman" w:hAnsi="Times New Roman" w:eastAsia="仿宋_GB2312" w:cs="Times New Roman"/>
          <w:bCs/>
          <w:color w:val="000000"/>
          <w:kern w:val="2"/>
          <w:sz w:val="32"/>
          <w:szCs w:val="32"/>
        </w:rPr>
        <w:t>罚款的行政处罚。</w:t>
      </w:r>
    </w:p>
    <w:p>
      <w:pPr>
        <w:keepNext w:val="0"/>
        <w:keepLines w:val="0"/>
        <w:pageBreakBefore w:val="0"/>
        <w:widowControl w:val="0"/>
        <w:kinsoku/>
        <w:wordWrap/>
        <w:topLinePunct w:val="0"/>
        <w:bidi w:val="0"/>
        <w:spacing w:line="594" w:lineRule="exact"/>
        <w:ind w:firstLine="645"/>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《行政处罚法》第</w:t>
      </w:r>
      <w:r>
        <w:rPr>
          <w:rFonts w:hint="default" w:ascii="Times New Roman" w:hAnsi="Times New Roman" w:eastAsia="仿宋_GB2312" w:cs="Times New Roman"/>
          <w:bCs/>
          <w:color w:val="000000"/>
          <w:kern w:val="2"/>
          <w:sz w:val="32"/>
          <w:szCs w:val="32"/>
          <w:lang w:val="en-US" w:eastAsia="zh-CN"/>
        </w:rPr>
        <w:t>六十七</w:t>
      </w:r>
      <w:r>
        <w:rPr>
          <w:rFonts w:hint="default" w:ascii="Times New Roman" w:hAnsi="Times New Roman" w:eastAsia="仿宋_GB2312" w:cs="Times New Roman"/>
          <w:bCs/>
          <w:color w:val="000000"/>
          <w:kern w:val="2"/>
          <w:sz w:val="32"/>
          <w:szCs w:val="32"/>
        </w:rPr>
        <w:t>条规定</w:t>
      </w:r>
      <w:r>
        <w:rPr>
          <w:rFonts w:hint="default" w:ascii="Times New Roman" w:hAnsi="Times New Roman" w:eastAsia="仿宋_GB2312" w:cs="Times New Roman"/>
          <w:bCs/>
          <w:color w:val="000000"/>
          <w:kern w:val="2"/>
          <w:sz w:val="32"/>
          <w:szCs w:val="32"/>
          <w:lang w:eastAsia="zh-CN"/>
        </w:rPr>
        <w:t>“</w:t>
      </w:r>
      <w:r>
        <w:rPr>
          <w:rFonts w:hint="default" w:ascii="Times New Roman" w:hAnsi="Times New Roman" w:eastAsia="仿宋_GB2312" w:cs="Times New Roman"/>
          <w:bCs/>
          <w:color w:val="000000"/>
          <w:kern w:val="2"/>
          <w:sz w:val="32"/>
          <w:szCs w:val="32"/>
          <w:lang w:val="en-US" w:eastAsia="zh-CN"/>
        </w:rPr>
        <w:t>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r>
        <w:rPr>
          <w:rFonts w:hint="default" w:ascii="Times New Roman" w:hAnsi="Times New Roman" w:eastAsia="仿宋_GB2312" w:cs="Times New Roman"/>
          <w:bCs/>
          <w:color w:val="000000"/>
          <w:kern w:val="2"/>
          <w:sz w:val="32"/>
          <w:szCs w:val="32"/>
          <w:lang w:eastAsia="zh-CN"/>
        </w:rPr>
        <w:t>”。</w:t>
      </w:r>
    </w:p>
    <w:p>
      <w:pPr>
        <w:keepNext w:val="0"/>
        <w:keepLines w:val="0"/>
        <w:pageBreakBefore w:val="0"/>
        <w:widowControl w:val="0"/>
        <w:kinsoku/>
        <w:wordWrap/>
        <w:topLinePunct w:val="0"/>
        <w:bidi w:val="0"/>
        <w:spacing w:line="594" w:lineRule="exact"/>
        <w:ind w:firstLine="645"/>
        <w:textAlignment w:val="auto"/>
        <w:rPr>
          <w:rFonts w:hint="eastAsia"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lang w:eastAsia="zh-CN"/>
        </w:rPr>
        <w:t>当事人</w:t>
      </w:r>
      <w:r>
        <w:rPr>
          <w:rFonts w:hint="default" w:ascii="Times New Roman" w:hAnsi="Times New Roman" w:eastAsia="仿宋_GB2312" w:cs="Times New Roman"/>
          <w:bCs/>
          <w:color w:val="000000"/>
          <w:kern w:val="2"/>
          <w:sz w:val="32"/>
          <w:szCs w:val="32"/>
        </w:rPr>
        <w:t>应当自收到本行政处罚决定书之日起十五日内，根据本行政处罚决定书，携缴款码到1</w:t>
      </w:r>
      <w:r>
        <w:rPr>
          <w:rFonts w:hint="default" w:ascii="Times New Roman" w:hAnsi="Times New Roman" w:eastAsia="仿宋_GB2312" w:cs="Times New Roman"/>
          <w:bCs/>
          <w:color w:val="000000"/>
          <w:kern w:val="2"/>
          <w:sz w:val="32"/>
          <w:szCs w:val="32"/>
          <w:lang w:val="en-US" w:eastAsia="zh-CN"/>
        </w:rPr>
        <w:t>5</w:t>
      </w:r>
      <w:r>
        <w:rPr>
          <w:rFonts w:hint="default" w:ascii="Times New Roman" w:hAnsi="Times New Roman" w:eastAsia="仿宋_GB2312" w:cs="Times New Roman"/>
          <w:bCs/>
          <w:color w:val="000000"/>
          <w:kern w:val="2"/>
          <w:sz w:val="32"/>
          <w:szCs w:val="32"/>
        </w:rPr>
        <w:t>家中央财政非税收入收缴代理银行（工、农、中、建、交、中信、光大、招商、</w:t>
      </w:r>
      <w:r>
        <w:rPr>
          <w:rFonts w:hint="default" w:ascii="Times New Roman" w:hAnsi="Times New Roman" w:eastAsia="仿宋_GB2312" w:cs="Times New Roman"/>
          <w:bCs/>
          <w:color w:val="000000"/>
          <w:kern w:val="2"/>
          <w:sz w:val="32"/>
          <w:szCs w:val="32"/>
          <w:lang w:eastAsia="zh-CN"/>
        </w:rPr>
        <w:t>民生、</w:t>
      </w:r>
      <w:r>
        <w:rPr>
          <w:rFonts w:hint="default" w:ascii="Times New Roman" w:hAnsi="Times New Roman" w:eastAsia="仿宋_GB2312" w:cs="Times New Roman"/>
          <w:bCs/>
          <w:color w:val="000000"/>
          <w:kern w:val="2"/>
          <w:sz w:val="32"/>
          <w:szCs w:val="32"/>
        </w:rPr>
        <w:t>邮储、华夏、平安、兴业</w:t>
      </w:r>
      <w:r>
        <w:rPr>
          <w:rFonts w:hint="default" w:ascii="Times New Roman" w:hAnsi="Times New Roman" w:eastAsia="仿宋_GB2312" w:cs="Times New Roman"/>
          <w:bCs/>
          <w:color w:val="000000"/>
          <w:kern w:val="2"/>
          <w:sz w:val="32"/>
          <w:szCs w:val="32"/>
          <w:lang w:eastAsia="zh-CN"/>
        </w:rPr>
        <w:t>、广发、浙商</w:t>
      </w:r>
      <w:r>
        <w:rPr>
          <w:rFonts w:hint="default" w:ascii="Times New Roman" w:hAnsi="Times New Roman" w:eastAsia="仿宋_GB2312" w:cs="Times New Roman"/>
          <w:bCs/>
          <w:color w:val="000000"/>
          <w:kern w:val="2"/>
          <w:sz w:val="32"/>
          <w:szCs w:val="32"/>
        </w:rPr>
        <w:t>）任一银行网点或者网上银行</w:t>
      </w:r>
      <w:r>
        <w:rPr>
          <w:rFonts w:hint="eastAsia" w:ascii="Times New Roman" w:hAnsi="Times New Roman" w:eastAsia="仿宋_GB2312" w:cs="Times New Roman"/>
          <w:bCs/>
          <w:color w:val="000000"/>
          <w:kern w:val="2"/>
          <w:sz w:val="32"/>
          <w:szCs w:val="32"/>
          <w:lang w:eastAsia="zh-CN"/>
        </w:rPr>
        <w:t>缴纳</w:t>
      </w:r>
      <w:r>
        <w:rPr>
          <w:rFonts w:hint="default" w:ascii="Times New Roman" w:hAnsi="Times New Roman" w:eastAsia="仿宋_GB2312" w:cs="Times New Roman"/>
          <w:bCs/>
          <w:color w:val="000000"/>
          <w:kern w:val="2"/>
          <w:sz w:val="32"/>
          <w:szCs w:val="32"/>
        </w:rPr>
        <w:t>罚款。</w:t>
      </w:r>
      <w:r>
        <w:rPr>
          <w:rFonts w:hint="eastAsia" w:ascii="Times New Roman" w:hAnsi="Times New Roman" w:eastAsia="仿宋_GB2312" w:cs="Times New Roman"/>
          <w:bCs/>
          <w:color w:val="000000"/>
          <w:kern w:val="2"/>
          <w:sz w:val="32"/>
          <w:szCs w:val="32"/>
          <w:lang w:eastAsia="zh-CN"/>
        </w:rPr>
        <w:t>百度</w:t>
      </w:r>
      <w:r>
        <w:rPr>
          <w:rFonts w:hint="default" w:ascii="Times New Roman" w:hAnsi="Times New Roman" w:eastAsia="仿宋_GB2312" w:cs="Times New Roman"/>
          <w:bCs/>
          <w:color w:val="000000"/>
          <w:kern w:val="2"/>
          <w:sz w:val="32"/>
          <w:szCs w:val="32"/>
        </w:rPr>
        <w:t>缴款码</w:t>
      </w:r>
      <w:r>
        <w:rPr>
          <w:rFonts w:hint="default" w:ascii="Times New Roman" w:hAnsi="Times New Roman" w:eastAsia="仿宋_GB2312" w:cs="Times New Roman"/>
          <w:bCs/>
          <w:color w:val="000000"/>
          <w:kern w:val="2"/>
          <w:sz w:val="32"/>
          <w:szCs w:val="32"/>
          <w:lang w:eastAsia="zh-CN"/>
        </w:rPr>
        <w:t>为</w:t>
      </w:r>
      <w:r>
        <w:rPr>
          <w:rFonts w:hint="default" w:ascii="Times New Roman" w:hAnsi="Times New Roman" w:eastAsia="仿宋_GB2312" w:cs="Times New Roman"/>
          <w:bCs/>
          <w:color w:val="000000"/>
          <w:kern w:val="2"/>
          <w:sz w:val="32"/>
          <w:szCs w:val="32"/>
        </w:rPr>
        <w:t>：</w:t>
      </w:r>
      <w:r>
        <w:rPr>
          <w:rFonts w:hint="eastAsia" w:ascii="Times New Roman" w:hAnsi="Times New Roman" w:eastAsia="仿宋_GB2312" w:cs="Times New Roman"/>
          <w:bCs/>
          <w:color w:val="000000"/>
          <w:kern w:val="2"/>
          <w:sz w:val="32"/>
          <w:szCs w:val="32"/>
          <w:lang w:val="en-US" w:eastAsia="zh-CN"/>
        </w:rPr>
        <w:t>（略）</w:t>
      </w:r>
      <w:r>
        <w:rPr>
          <w:rFonts w:hint="default" w:ascii="Times New Roman" w:hAnsi="Times New Roman" w:eastAsia="仿宋_GB2312" w:cs="Times New Roman"/>
          <w:bCs/>
          <w:color w:val="000000"/>
          <w:kern w:val="2"/>
          <w:sz w:val="32"/>
          <w:szCs w:val="32"/>
        </w:rPr>
        <w:t>。</w:t>
      </w:r>
      <w:r>
        <w:rPr>
          <w:rFonts w:hint="eastAsia" w:ascii="Times New Roman" w:hAnsi="Times New Roman" w:eastAsia="仿宋_GB2312" w:cs="Times New Roman"/>
          <w:bCs/>
          <w:color w:val="000000"/>
          <w:kern w:val="2"/>
          <w:sz w:val="32"/>
          <w:szCs w:val="32"/>
          <w:lang w:eastAsia="zh-CN"/>
        </w:rPr>
        <w:t>中信银行缴款码为：</w:t>
      </w:r>
      <w:r>
        <w:rPr>
          <w:rFonts w:hint="eastAsia" w:ascii="Times New Roman" w:hAnsi="Times New Roman" w:eastAsia="仿宋_GB2312" w:cs="Times New Roman"/>
          <w:bCs/>
          <w:color w:val="000000"/>
          <w:kern w:val="2"/>
          <w:sz w:val="32"/>
          <w:szCs w:val="32"/>
          <w:lang w:val="en-US" w:eastAsia="zh-CN"/>
        </w:rPr>
        <w:t>（略）</w:t>
      </w:r>
      <w:r>
        <w:rPr>
          <w:rFonts w:hint="eastAsia" w:ascii="Times New Roman" w:hAnsi="Times New Roman" w:eastAsia="仿宋_GB2312" w:cs="Times New Roman"/>
          <w:bCs/>
          <w:color w:val="000000"/>
          <w:kern w:val="2"/>
          <w:sz w:val="32"/>
          <w:szCs w:val="32"/>
          <w:lang w:eastAsia="zh-CN"/>
        </w:rPr>
        <w:t>。</w:t>
      </w:r>
    </w:p>
    <w:p>
      <w:pPr>
        <w:keepNext w:val="0"/>
        <w:keepLines w:val="0"/>
        <w:pageBreakBefore w:val="0"/>
        <w:widowControl w:val="0"/>
        <w:kinsoku/>
        <w:wordWrap/>
        <w:topLinePunct w:val="0"/>
        <w:bidi w:val="0"/>
        <w:spacing w:line="594" w:lineRule="exact"/>
        <w:ind w:firstLine="645"/>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lang w:eastAsia="zh-CN"/>
        </w:rPr>
        <w:t>当事人</w:t>
      </w:r>
      <w:r>
        <w:rPr>
          <w:rFonts w:hint="default" w:ascii="Times New Roman" w:hAnsi="Times New Roman" w:eastAsia="仿宋_GB2312" w:cs="Times New Roman"/>
          <w:bCs/>
          <w:color w:val="000000"/>
          <w:kern w:val="2"/>
          <w:sz w:val="32"/>
          <w:szCs w:val="32"/>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pacing w:line="594" w:lineRule="exact"/>
        <w:ind w:firstLine="645"/>
        <w:textAlignment w:val="auto"/>
        <w:rPr>
          <w:rFonts w:hint="default" w:ascii="Times New Roman" w:hAnsi="Times New Roman" w:eastAsia="仿宋_GB2312" w:cs="Times New Roman"/>
          <w:bCs/>
          <w:color w:val="000000"/>
          <w:kern w:val="2"/>
          <w:sz w:val="32"/>
          <w:szCs w:val="32"/>
        </w:rPr>
      </w:pPr>
    </w:p>
    <w:p>
      <w:pPr>
        <w:keepNext w:val="0"/>
        <w:keepLines w:val="0"/>
        <w:pageBreakBefore w:val="0"/>
        <w:widowControl w:val="0"/>
        <w:kinsoku/>
        <w:wordWrap/>
        <w:topLinePunct w:val="0"/>
        <w:bidi w:val="0"/>
        <w:spacing w:line="594" w:lineRule="exact"/>
        <w:ind w:firstLine="5772" w:firstLineChars="1804"/>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市场监管总局</w:t>
      </w:r>
    </w:p>
    <w:p>
      <w:pPr>
        <w:keepNext w:val="0"/>
        <w:keepLines w:val="0"/>
        <w:pageBreakBefore w:val="0"/>
        <w:widowControl w:val="0"/>
        <w:kinsoku/>
        <w:wordWrap/>
        <w:topLinePunct w:val="0"/>
        <w:bidi w:val="0"/>
        <w:spacing w:line="594" w:lineRule="exact"/>
        <w:ind w:firstLine="5772" w:firstLineChars="1804"/>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202</w:t>
      </w:r>
      <w:r>
        <w:rPr>
          <w:rFonts w:hint="default" w:ascii="Times New Roman" w:hAnsi="Times New Roman" w:eastAsia="仿宋_GB2312" w:cs="Times New Roman"/>
          <w:bCs/>
          <w:color w:val="000000"/>
          <w:kern w:val="2"/>
          <w:sz w:val="32"/>
          <w:szCs w:val="32"/>
          <w:lang w:val="en-US" w:eastAsia="zh-CN"/>
        </w:rPr>
        <w:t>1</w:t>
      </w:r>
      <w:r>
        <w:rPr>
          <w:rFonts w:hint="default" w:ascii="Times New Roman" w:hAnsi="Times New Roman" w:eastAsia="仿宋_GB2312" w:cs="Times New Roman"/>
          <w:bCs/>
          <w:color w:val="000000"/>
          <w:kern w:val="2"/>
          <w:sz w:val="32"/>
          <w:szCs w:val="32"/>
        </w:rPr>
        <w:t>年</w:t>
      </w:r>
      <w:r>
        <w:rPr>
          <w:rFonts w:hint="eastAsia" w:ascii="Times New Roman" w:hAnsi="Times New Roman" w:eastAsia="仿宋_GB2312" w:cs="Times New Roman"/>
          <w:bCs/>
          <w:color w:val="000000"/>
          <w:kern w:val="2"/>
          <w:sz w:val="32"/>
          <w:szCs w:val="32"/>
          <w:lang w:val="en-US" w:eastAsia="zh-CN"/>
        </w:rPr>
        <w:t>11</w:t>
      </w:r>
      <w:r>
        <w:rPr>
          <w:rFonts w:hint="default" w:ascii="Times New Roman" w:hAnsi="Times New Roman" w:eastAsia="仿宋_GB2312" w:cs="Times New Roman"/>
          <w:bCs/>
          <w:color w:val="000000"/>
          <w:kern w:val="2"/>
          <w:sz w:val="32"/>
          <w:szCs w:val="32"/>
        </w:rPr>
        <w:t>月</w:t>
      </w:r>
      <w:r>
        <w:rPr>
          <w:rFonts w:hint="eastAsia" w:ascii="Times New Roman" w:hAnsi="Times New Roman" w:eastAsia="仿宋_GB2312" w:cs="Times New Roman"/>
          <w:bCs/>
          <w:color w:val="000000"/>
          <w:kern w:val="2"/>
          <w:sz w:val="32"/>
          <w:szCs w:val="32"/>
          <w:lang w:val="en-US" w:eastAsia="zh-CN"/>
        </w:rPr>
        <w:t>15</w:t>
      </w:r>
      <w:r>
        <w:rPr>
          <w:rFonts w:hint="default" w:ascii="Times New Roman" w:hAnsi="Times New Roman" w:eastAsia="仿宋_GB2312" w:cs="Times New Roman"/>
          <w:bCs/>
          <w:color w:val="000000"/>
          <w:kern w:val="2"/>
          <w:sz w:val="32"/>
          <w:szCs w:val="32"/>
        </w:rPr>
        <w:t>日</w:t>
      </w:r>
    </w:p>
    <w:p>
      <w:pPr>
        <w:keepNext w:val="0"/>
        <w:keepLines w:val="0"/>
        <w:pageBreakBefore w:val="0"/>
        <w:widowControl w:val="0"/>
        <w:kinsoku/>
        <w:wordWrap/>
        <w:topLinePunct w:val="0"/>
        <w:bidi w:val="0"/>
        <w:spacing w:line="594" w:lineRule="exact"/>
        <w:ind w:firstLine="645"/>
        <w:jc w:val="both"/>
        <w:textAlignment w:val="auto"/>
        <w:rPr>
          <w:rFonts w:hint="eastAsia" w:ascii="Times New Roman" w:hAnsi="Times New Roman" w:eastAsia="仿宋_GB2312" w:cs="Times New Roman"/>
          <w:bCs/>
          <w:color w:val="000000"/>
          <w:kern w:val="2"/>
          <w:sz w:val="32"/>
          <w:szCs w:val="32"/>
        </w:rPr>
      </w:pPr>
      <w:r>
        <w:rPr>
          <w:rFonts w:hint="eastAsia" w:ascii="Times New Roman" w:hAnsi="Times New Roman" w:eastAsia="仿宋_GB2312" w:cs="Times New Roman"/>
          <w:bCs/>
          <w:color w:val="000000"/>
          <w:kern w:val="2"/>
          <w:sz w:val="32"/>
          <w:szCs w:val="32"/>
          <w:lang w:eastAsia="zh-CN"/>
        </w:rPr>
        <w:t>（此件公开发布）</w:t>
      </w:r>
    </w:p>
    <w:sectPr>
      <w:footerReference r:id="rId3" w:type="default"/>
      <w:pgSz w:w="11906" w:h="16838"/>
      <w:pgMar w:top="1440" w:right="1803" w:bottom="1440" w:left="180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25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25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YAhdUOIBAADCAwAADgAA&#10;AAAAAAABACAAAAAeAQAAZHJzL2Uyb0RvYy54bWxQSwUGAAAAAAYABgBZAQAAcgU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dit="forms"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C0C"/>
    <w:rsid w:val="000073B9"/>
    <w:rsid w:val="00012868"/>
    <w:rsid w:val="000209A5"/>
    <w:rsid w:val="0003166A"/>
    <w:rsid w:val="0005107D"/>
    <w:rsid w:val="000647E4"/>
    <w:rsid w:val="000A7EB0"/>
    <w:rsid w:val="000B0870"/>
    <w:rsid w:val="000B5134"/>
    <w:rsid w:val="000D02B7"/>
    <w:rsid w:val="000F6092"/>
    <w:rsid w:val="0012207C"/>
    <w:rsid w:val="001225D7"/>
    <w:rsid w:val="00132378"/>
    <w:rsid w:val="001327B1"/>
    <w:rsid w:val="00134138"/>
    <w:rsid w:val="001417BC"/>
    <w:rsid w:val="00143E8F"/>
    <w:rsid w:val="00155466"/>
    <w:rsid w:val="00164588"/>
    <w:rsid w:val="001677ED"/>
    <w:rsid w:val="001732A9"/>
    <w:rsid w:val="001819E8"/>
    <w:rsid w:val="00195FF1"/>
    <w:rsid w:val="001A2179"/>
    <w:rsid w:val="001C12EC"/>
    <w:rsid w:val="001C1770"/>
    <w:rsid w:val="001D6713"/>
    <w:rsid w:val="001F4DC8"/>
    <w:rsid w:val="002077A6"/>
    <w:rsid w:val="002326AE"/>
    <w:rsid w:val="002461DC"/>
    <w:rsid w:val="002530EA"/>
    <w:rsid w:val="00262E3F"/>
    <w:rsid w:val="00273E5D"/>
    <w:rsid w:val="0027432E"/>
    <w:rsid w:val="002A3A2C"/>
    <w:rsid w:val="002A539B"/>
    <w:rsid w:val="002A5EA7"/>
    <w:rsid w:val="002B13A6"/>
    <w:rsid w:val="002B36D2"/>
    <w:rsid w:val="002B3813"/>
    <w:rsid w:val="002E1699"/>
    <w:rsid w:val="002E31D8"/>
    <w:rsid w:val="002F0A88"/>
    <w:rsid w:val="00303517"/>
    <w:rsid w:val="00312608"/>
    <w:rsid w:val="00312ADE"/>
    <w:rsid w:val="0031490B"/>
    <w:rsid w:val="003201D7"/>
    <w:rsid w:val="00336432"/>
    <w:rsid w:val="00347652"/>
    <w:rsid w:val="00354CB9"/>
    <w:rsid w:val="0035785C"/>
    <w:rsid w:val="003A03D3"/>
    <w:rsid w:val="003C2972"/>
    <w:rsid w:val="003F3AD2"/>
    <w:rsid w:val="00412FEF"/>
    <w:rsid w:val="00420FF4"/>
    <w:rsid w:val="004257AE"/>
    <w:rsid w:val="004265BF"/>
    <w:rsid w:val="00447CA4"/>
    <w:rsid w:val="004846E4"/>
    <w:rsid w:val="00494109"/>
    <w:rsid w:val="00497349"/>
    <w:rsid w:val="004B2744"/>
    <w:rsid w:val="004D1281"/>
    <w:rsid w:val="004D7494"/>
    <w:rsid w:val="004F68F7"/>
    <w:rsid w:val="00510A44"/>
    <w:rsid w:val="00513515"/>
    <w:rsid w:val="00514196"/>
    <w:rsid w:val="00514EB6"/>
    <w:rsid w:val="00515C02"/>
    <w:rsid w:val="00545777"/>
    <w:rsid w:val="00567696"/>
    <w:rsid w:val="00575A8C"/>
    <w:rsid w:val="00585B1F"/>
    <w:rsid w:val="005A191C"/>
    <w:rsid w:val="005B59F5"/>
    <w:rsid w:val="005C51CE"/>
    <w:rsid w:val="005D1A3D"/>
    <w:rsid w:val="005E2A61"/>
    <w:rsid w:val="005E7741"/>
    <w:rsid w:val="005F1196"/>
    <w:rsid w:val="005F16DB"/>
    <w:rsid w:val="00613330"/>
    <w:rsid w:val="00621999"/>
    <w:rsid w:val="00624317"/>
    <w:rsid w:val="00634F82"/>
    <w:rsid w:val="00641B5E"/>
    <w:rsid w:val="00643B80"/>
    <w:rsid w:val="006746BC"/>
    <w:rsid w:val="00676684"/>
    <w:rsid w:val="00683EAF"/>
    <w:rsid w:val="006859CB"/>
    <w:rsid w:val="00693A9F"/>
    <w:rsid w:val="006A2FC8"/>
    <w:rsid w:val="006C44BB"/>
    <w:rsid w:val="006D48AD"/>
    <w:rsid w:val="006E1ECD"/>
    <w:rsid w:val="006E764B"/>
    <w:rsid w:val="006E7C26"/>
    <w:rsid w:val="006F6DE9"/>
    <w:rsid w:val="00704A35"/>
    <w:rsid w:val="0071410F"/>
    <w:rsid w:val="00717818"/>
    <w:rsid w:val="0072339A"/>
    <w:rsid w:val="00733C7D"/>
    <w:rsid w:val="00741F66"/>
    <w:rsid w:val="007500A0"/>
    <w:rsid w:val="00755232"/>
    <w:rsid w:val="00760E6B"/>
    <w:rsid w:val="00764A62"/>
    <w:rsid w:val="007A1898"/>
    <w:rsid w:val="007A6313"/>
    <w:rsid w:val="007D2C29"/>
    <w:rsid w:val="008021BF"/>
    <w:rsid w:val="00813581"/>
    <w:rsid w:val="008421BF"/>
    <w:rsid w:val="00846868"/>
    <w:rsid w:val="008558D4"/>
    <w:rsid w:val="00865568"/>
    <w:rsid w:val="008704F1"/>
    <w:rsid w:val="00873886"/>
    <w:rsid w:val="008817A8"/>
    <w:rsid w:val="00886424"/>
    <w:rsid w:val="00896118"/>
    <w:rsid w:val="008A4989"/>
    <w:rsid w:val="008A6C67"/>
    <w:rsid w:val="008B4923"/>
    <w:rsid w:val="008D7382"/>
    <w:rsid w:val="008E1508"/>
    <w:rsid w:val="008F1C64"/>
    <w:rsid w:val="00915B99"/>
    <w:rsid w:val="00951A7E"/>
    <w:rsid w:val="00951A93"/>
    <w:rsid w:val="00974725"/>
    <w:rsid w:val="00982B37"/>
    <w:rsid w:val="00983857"/>
    <w:rsid w:val="00983CBF"/>
    <w:rsid w:val="00990F07"/>
    <w:rsid w:val="009A5D67"/>
    <w:rsid w:val="009E56F8"/>
    <w:rsid w:val="009F0F90"/>
    <w:rsid w:val="009F2B15"/>
    <w:rsid w:val="009F6C34"/>
    <w:rsid w:val="00A12785"/>
    <w:rsid w:val="00A22BD4"/>
    <w:rsid w:val="00A25B32"/>
    <w:rsid w:val="00A71A2A"/>
    <w:rsid w:val="00A8174D"/>
    <w:rsid w:val="00A83120"/>
    <w:rsid w:val="00A9380D"/>
    <w:rsid w:val="00A940F6"/>
    <w:rsid w:val="00AC1EFA"/>
    <w:rsid w:val="00AE2FE7"/>
    <w:rsid w:val="00AF7389"/>
    <w:rsid w:val="00B01D59"/>
    <w:rsid w:val="00B03EF4"/>
    <w:rsid w:val="00B20C0C"/>
    <w:rsid w:val="00B2370B"/>
    <w:rsid w:val="00B2528F"/>
    <w:rsid w:val="00B25965"/>
    <w:rsid w:val="00B3179B"/>
    <w:rsid w:val="00B46989"/>
    <w:rsid w:val="00B471C4"/>
    <w:rsid w:val="00B57008"/>
    <w:rsid w:val="00B57AAE"/>
    <w:rsid w:val="00B662BE"/>
    <w:rsid w:val="00B74F3C"/>
    <w:rsid w:val="00BA0DE9"/>
    <w:rsid w:val="00BB312F"/>
    <w:rsid w:val="00BC7C19"/>
    <w:rsid w:val="00BD1C62"/>
    <w:rsid w:val="00BD3884"/>
    <w:rsid w:val="00BE7DB3"/>
    <w:rsid w:val="00BF4AE5"/>
    <w:rsid w:val="00C11894"/>
    <w:rsid w:val="00C14186"/>
    <w:rsid w:val="00C4759D"/>
    <w:rsid w:val="00C50842"/>
    <w:rsid w:val="00C5344B"/>
    <w:rsid w:val="00C5555E"/>
    <w:rsid w:val="00C707E1"/>
    <w:rsid w:val="00C8010C"/>
    <w:rsid w:val="00C93B1D"/>
    <w:rsid w:val="00C94CF8"/>
    <w:rsid w:val="00C96A6D"/>
    <w:rsid w:val="00C97113"/>
    <w:rsid w:val="00CC0CEA"/>
    <w:rsid w:val="00CC42B2"/>
    <w:rsid w:val="00CE0B69"/>
    <w:rsid w:val="00CE3FDA"/>
    <w:rsid w:val="00CF509E"/>
    <w:rsid w:val="00D07A84"/>
    <w:rsid w:val="00D116C7"/>
    <w:rsid w:val="00D15B8A"/>
    <w:rsid w:val="00D22BE7"/>
    <w:rsid w:val="00D47F69"/>
    <w:rsid w:val="00D5632F"/>
    <w:rsid w:val="00D72770"/>
    <w:rsid w:val="00D741CA"/>
    <w:rsid w:val="00DC47C6"/>
    <w:rsid w:val="00DE0689"/>
    <w:rsid w:val="00DE06BB"/>
    <w:rsid w:val="00DE3C06"/>
    <w:rsid w:val="00E62D54"/>
    <w:rsid w:val="00E84557"/>
    <w:rsid w:val="00E84BF1"/>
    <w:rsid w:val="00E91793"/>
    <w:rsid w:val="00E97449"/>
    <w:rsid w:val="00EA1051"/>
    <w:rsid w:val="00EB3A4B"/>
    <w:rsid w:val="00ED2618"/>
    <w:rsid w:val="00EE1034"/>
    <w:rsid w:val="00EF51BA"/>
    <w:rsid w:val="00EF755A"/>
    <w:rsid w:val="00F00E53"/>
    <w:rsid w:val="00F037ED"/>
    <w:rsid w:val="00F34840"/>
    <w:rsid w:val="00F36735"/>
    <w:rsid w:val="00F418C4"/>
    <w:rsid w:val="00F41D23"/>
    <w:rsid w:val="00F47FD5"/>
    <w:rsid w:val="00F832FC"/>
    <w:rsid w:val="00F91C5A"/>
    <w:rsid w:val="00FA2B45"/>
    <w:rsid w:val="00FA3F61"/>
    <w:rsid w:val="00FD4CB1"/>
    <w:rsid w:val="00FE6BBC"/>
    <w:rsid w:val="00FE6E91"/>
    <w:rsid w:val="00FF2461"/>
    <w:rsid w:val="00FF247D"/>
    <w:rsid w:val="00FF3787"/>
    <w:rsid w:val="012D5403"/>
    <w:rsid w:val="03874E1E"/>
    <w:rsid w:val="039E50A5"/>
    <w:rsid w:val="04710E9B"/>
    <w:rsid w:val="05541E53"/>
    <w:rsid w:val="05EC04C6"/>
    <w:rsid w:val="091B0D1E"/>
    <w:rsid w:val="09976D0C"/>
    <w:rsid w:val="0C1667C0"/>
    <w:rsid w:val="0C964A3A"/>
    <w:rsid w:val="0C9E128A"/>
    <w:rsid w:val="0D9F00E3"/>
    <w:rsid w:val="0F7FBA72"/>
    <w:rsid w:val="0F864CDA"/>
    <w:rsid w:val="10F073FF"/>
    <w:rsid w:val="162406D3"/>
    <w:rsid w:val="17B60510"/>
    <w:rsid w:val="18DC4B0C"/>
    <w:rsid w:val="1B514D72"/>
    <w:rsid w:val="1B9C1E7C"/>
    <w:rsid w:val="1C15236D"/>
    <w:rsid w:val="1C372321"/>
    <w:rsid w:val="1D5E493F"/>
    <w:rsid w:val="1EBC71CC"/>
    <w:rsid w:val="209D6B08"/>
    <w:rsid w:val="20D42AE6"/>
    <w:rsid w:val="22A535B0"/>
    <w:rsid w:val="23010EEB"/>
    <w:rsid w:val="2467287F"/>
    <w:rsid w:val="25835D2F"/>
    <w:rsid w:val="265E4A2A"/>
    <w:rsid w:val="27843DD5"/>
    <w:rsid w:val="278D5F03"/>
    <w:rsid w:val="27D9B5DF"/>
    <w:rsid w:val="2AF76152"/>
    <w:rsid w:val="2F6C6F78"/>
    <w:rsid w:val="2FA90555"/>
    <w:rsid w:val="2FF6132F"/>
    <w:rsid w:val="30106EF4"/>
    <w:rsid w:val="30121F86"/>
    <w:rsid w:val="3664151B"/>
    <w:rsid w:val="36A21023"/>
    <w:rsid w:val="36DB70FE"/>
    <w:rsid w:val="379346F1"/>
    <w:rsid w:val="37AC0ADE"/>
    <w:rsid w:val="39CE37FD"/>
    <w:rsid w:val="3A145027"/>
    <w:rsid w:val="3A176F87"/>
    <w:rsid w:val="3AFF7069"/>
    <w:rsid w:val="3C113B3B"/>
    <w:rsid w:val="3C3B311B"/>
    <w:rsid w:val="3CE71F92"/>
    <w:rsid w:val="3D3B0F4E"/>
    <w:rsid w:val="3EF636FC"/>
    <w:rsid w:val="3FC61702"/>
    <w:rsid w:val="40432051"/>
    <w:rsid w:val="40B2096A"/>
    <w:rsid w:val="419F54F2"/>
    <w:rsid w:val="432B7BAC"/>
    <w:rsid w:val="4449698F"/>
    <w:rsid w:val="44531183"/>
    <w:rsid w:val="46D754DB"/>
    <w:rsid w:val="484268A0"/>
    <w:rsid w:val="493D304B"/>
    <w:rsid w:val="49556857"/>
    <w:rsid w:val="49FE60F3"/>
    <w:rsid w:val="4ACC368A"/>
    <w:rsid w:val="4D19468D"/>
    <w:rsid w:val="4E226115"/>
    <w:rsid w:val="4FF275F4"/>
    <w:rsid w:val="53211865"/>
    <w:rsid w:val="534963B9"/>
    <w:rsid w:val="53616393"/>
    <w:rsid w:val="541316F7"/>
    <w:rsid w:val="54356A67"/>
    <w:rsid w:val="546F323D"/>
    <w:rsid w:val="5526148C"/>
    <w:rsid w:val="56985D6B"/>
    <w:rsid w:val="56CE2E2B"/>
    <w:rsid w:val="58D96A94"/>
    <w:rsid w:val="58E70FA8"/>
    <w:rsid w:val="5A154624"/>
    <w:rsid w:val="5B0428E9"/>
    <w:rsid w:val="5BF17393"/>
    <w:rsid w:val="5F3E130C"/>
    <w:rsid w:val="5FEDE168"/>
    <w:rsid w:val="5FF5B9A9"/>
    <w:rsid w:val="5FF756A6"/>
    <w:rsid w:val="60F10E6A"/>
    <w:rsid w:val="6160374D"/>
    <w:rsid w:val="621F5E15"/>
    <w:rsid w:val="62AE3071"/>
    <w:rsid w:val="631D782F"/>
    <w:rsid w:val="63365801"/>
    <w:rsid w:val="63A83B6B"/>
    <w:rsid w:val="65045474"/>
    <w:rsid w:val="659352C2"/>
    <w:rsid w:val="65DB4174"/>
    <w:rsid w:val="66B150E5"/>
    <w:rsid w:val="689625B2"/>
    <w:rsid w:val="6963108B"/>
    <w:rsid w:val="69B61531"/>
    <w:rsid w:val="69DE6E15"/>
    <w:rsid w:val="6D7A31DA"/>
    <w:rsid w:val="6DF37F1F"/>
    <w:rsid w:val="6F09650B"/>
    <w:rsid w:val="6F0C53D4"/>
    <w:rsid w:val="6F5B3F88"/>
    <w:rsid w:val="6FE60137"/>
    <w:rsid w:val="6FFFD127"/>
    <w:rsid w:val="76FB4EEF"/>
    <w:rsid w:val="77FB4F25"/>
    <w:rsid w:val="787B165E"/>
    <w:rsid w:val="79432195"/>
    <w:rsid w:val="7B006C63"/>
    <w:rsid w:val="7B3D38DB"/>
    <w:rsid w:val="7C911BC6"/>
    <w:rsid w:val="7CC91C1E"/>
    <w:rsid w:val="7DA357E0"/>
    <w:rsid w:val="7EDB39F1"/>
    <w:rsid w:val="7FDFD811"/>
    <w:rsid w:val="93DFAB5C"/>
    <w:rsid w:val="9FFF17D6"/>
    <w:rsid w:val="A7F5F583"/>
    <w:rsid w:val="B3DF2CB3"/>
    <w:rsid w:val="B7CFF2CD"/>
    <w:rsid w:val="BEBEBD40"/>
    <w:rsid w:val="BEF733C5"/>
    <w:rsid w:val="CDCB88D1"/>
    <w:rsid w:val="DAA3EBF9"/>
    <w:rsid w:val="DBBF0C6E"/>
    <w:rsid w:val="DF9FE04E"/>
    <w:rsid w:val="DFBF9D02"/>
    <w:rsid w:val="FBE37CCA"/>
    <w:rsid w:val="FCA63D07"/>
    <w:rsid w:val="FD7A5FE2"/>
    <w:rsid w:val="FD7F2958"/>
    <w:rsid w:val="FEDF3588"/>
    <w:rsid w:val="FF8B09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3">
    <w:name w:val="heading 1"/>
    <w:basedOn w:val="1"/>
    <w:next w:val="1"/>
    <w:link w:val="10"/>
    <w:qFormat/>
    <w:uiPriority w:val="0"/>
    <w:pPr>
      <w:spacing w:after="156" w:afterLines="50" w:line="640" w:lineRule="exact"/>
      <w:jc w:val="center"/>
      <w:outlineLvl w:val="0"/>
    </w:pPr>
    <w:rPr>
      <w:rFonts w:ascii="方正小标宋简体" w:hAnsi="Times New Roman" w:eastAsia="方正小标宋简体"/>
      <w:kern w:val="0"/>
      <w:sz w:val="44"/>
      <w:szCs w:val="36"/>
    </w:rPr>
  </w:style>
  <w:style w:type="character" w:default="1" w:styleId="8">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4">
    <w:name w:val="Normal Indent"/>
    <w:basedOn w:val="1"/>
    <w:qFormat/>
    <w:uiPriority w:val="0"/>
    <w:pPr>
      <w:spacing w:line="360" w:lineRule="exact"/>
      <w:ind w:firstLine="420" w:firstLineChars="200"/>
    </w:pPr>
    <w:rPr>
      <w:szCs w:val="20"/>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标题 1 Char"/>
    <w:basedOn w:val="8"/>
    <w:link w:val="3"/>
    <w:uiPriority w:val="0"/>
    <w:rPr>
      <w:rFonts w:ascii="方正小标宋简体" w:hAnsi="Times New Roman" w:eastAsia="方正小标宋简体"/>
      <w:sz w:val="44"/>
      <w:szCs w:val="36"/>
    </w:rPr>
  </w:style>
  <w:style w:type="character" w:customStyle="1" w:styleId="11">
    <w:name w:val="页脚 Char"/>
    <w:basedOn w:val="8"/>
    <w:link w:val="5"/>
    <w:semiHidden/>
    <w:uiPriority w:val="99"/>
    <w:rPr>
      <w:sz w:val="18"/>
      <w:szCs w:val="18"/>
    </w:rPr>
  </w:style>
  <w:style w:type="character" w:customStyle="1" w:styleId="12">
    <w:name w:val="页眉 Char"/>
    <w:basedOn w:val="8"/>
    <w:link w:val="6"/>
    <w:semiHidden/>
    <w:uiPriority w:val="99"/>
    <w:rPr>
      <w:sz w:val="18"/>
      <w:szCs w:val="18"/>
    </w:rPr>
  </w:style>
  <w:style w:type="character" w:customStyle="1" w:styleId="13">
    <w:name w:val="内容 Char"/>
    <w:basedOn w:val="8"/>
    <w:link w:val="14"/>
    <w:uiPriority w:val="0"/>
    <w:rPr>
      <w:rFonts w:ascii="仿宋_GB2312" w:hAnsi="仿宋_GB2312" w:eastAsia="仿宋_GB2312"/>
      <w:kern w:val="2"/>
      <w:sz w:val="32"/>
      <w:szCs w:val="32"/>
    </w:rPr>
  </w:style>
  <w:style w:type="paragraph" w:customStyle="1" w:styleId="14">
    <w:name w:val="内容"/>
    <w:basedOn w:val="1"/>
    <w:link w:val="13"/>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 w:type="paragraph" w:customStyle="1" w:styleId="15">
    <w:name w:val="Default"/>
    <w:uiPriority w:val="0"/>
    <w:pPr>
      <w:widowControl w:val="0"/>
      <w:autoSpaceDE w:val="0"/>
      <w:autoSpaceDN w:val="0"/>
      <w:adjustRightInd w:val="0"/>
    </w:pPr>
    <w:rPr>
      <w:rFonts w:ascii="楷体_GB2312" w:eastAsia="楷体_GB2312" w:cs="楷体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192</Words>
  <Characters>1100</Characters>
  <Lines>9</Lines>
  <Paragraphs>2</Paragraphs>
  <TotalTime>6</TotalTime>
  <ScaleCrop>false</ScaleCrop>
  <LinksUpToDate>false</LinksUpToDate>
  <CharactersWithSpaces>1290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2019-12-16T02:45:00Z</dcterms:created>
  <dc:creator>赵莉莉</dc:creator>
  <cp:lastModifiedBy>网站服务岗</cp:lastModifiedBy>
  <cp:lastPrinted>2021-11-14T07:46:14Z</cp:lastPrinted>
  <dcterms:modified xsi:type="dcterms:W3CDTF">2021-11-19T08:39:11Z</dcterms:modified>
  <dc:title>国家市场监督管理总局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