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972384512"/>
        </w:rPr>
        <w:t>国家市场监督管理总</w:t>
      </w:r>
      <w:r>
        <w:rPr>
          <w:rFonts w:hint="default" w:ascii="Times New Roman" w:hAnsi="Times New Roman" w:eastAsia="黑体" w:cs="Times New Roman"/>
          <w:bCs/>
          <w:color w:val="auto"/>
          <w:spacing w:val="1"/>
          <w:kern w:val="0"/>
          <w:sz w:val="52"/>
          <w:szCs w:val="52"/>
          <w:fitText w:val="5742" w:id="972384512"/>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
        </w:rPr>
        <w:t>行政处罚决定</w:t>
      </w:r>
      <w:r>
        <w:rPr>
          <w:rFonts w:hint="default" w:ascii="Times New Roman" w:hAnsi="Times New Roman" w:eastAsia="黑体" w:cs="Times New Roman"/>
          <w:bCs/>
          <w:color w:val="auto"/>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w:t>
      </w:r>
      <w:r>
        <w:rPr>
          <w:rFonts w:hint="eastAsia" w:eastAsia="仿宋_GB2312" w:cs="Times New Roman"/>
          <w:color w:val="auto"/>
          <w:kern w:val="2"/>
          <w:sz w:val="32"/>
          <w:szCs w:val="32"/>
          <w:lang w:val="en-US" w:eastAsia="zh-CN"/>
        </w:rPr>
        <w:t>处罚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rPr>
        <w:t>114</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28"/>
          <w:szCs w:val="28"/>
        </w:rPr>
      </w:pPr>
    </w:p>
    <w:p>
      <w:pPr>
        <w:pStyle w:val="2"/>
        <w:keepNext w:val="0"/>
        <w:keepLines w:val="0"/>
        <w:pageBreakBefore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color w:val="auto"/>
          <w:sz w:val="32"/>
          <w:lang w:val="en-US" w:eastAsia="zh-CN"/>
        </w:rPr>
      </w:pPr>
      <w:r>
        <w:rPr>
          <w:rFonts w:hint="default" w:ascii="黑体" w:hAnsi="黑体" w:eastAsia="黑体" w:cs="黑体"/>
          <w:color w:val="auto"/>
          <w:kern w:val="2"/>
          <w:sz w:val="32"/>
          <w:szCs w:val="32"/>
        </w:rPr>
        <w:t>当事人：</w:t>
      </w:r>
      <w:r>
        <w:rPr>
          <w:rFonts w:hint="default" w:ascii="Times New Roman" w:hAnsi="Times New Roman" w:eastAsia="仿宋_GB2312" w:cs="Times New Roman"/>
          <w:color w:val="auto"/>
          <w:sz w:val="32"/>
          <w:szCs w:val="32"/>
          <w:lang w:eastAsia="zh-CN"/>
        </w:rPr>
        <w:t>腾讯控股有限公司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Tencent Holdings Limited</w:t>
      </w:r>
      <w:r>
        <w:rPr>
          <w:rFonts w:hint="eastAsia"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eastAsia" w:ascii="Times New Roman" w:hAnsi="Times New Roman" w:eastAsia="仿宋_GB2312" w:cs="Times New Roman"/>
          <w:color w:val="auto"/>
          <w:kern w:val="2"/>
          <w:sz w:val="32"/>
          <w:szCs w:val="32"/>
          <w:lang w:val="en-US" w:eastAsia="zh-CN"/>
        </w:rPr>
      </w:pPr>
      <w:r>
        <w:rPr>
          <w:rFonts w:hint="default" w:ascii="黑体" w:hAnsi="黑体" w:eastAsia="黑体" w:cs="黑体"/>
          <w:color w:val="auto"/>
          <w:kern w:val="2"/>
          <w:sz w:val="32"/>
          <w:szCs w:val="32"/>
        </w:rPr>
        <w:t>住  所：</w:t>
      </w:r>
      <w:r>
        <w:rPr>
          <w:rFonts w:hint="eastAsia" w:ascii="Times New Roman" w:hAnsi="Times New Roman" w:eastAsia="仿宋_GB2312" w:cs="Times New Roman"/>
          <w:color w:val="auto"/>
          <w:kern w:val="2"/>
          <w:sz w:val="32"/>
          <w:szCs w:val="32"/>
          <w:lang w:val="en-US" w:eastAsia="zh-CN" w:bidi="ar-SA"/>
        </w:rPr>
        <w:t>开曼群岛哈金斯大道克里奇广场2681邮箱（Cricket Square Hutchins Drive P.O.Box 2681 Grand Cayman KYI-1111 Cayman Islands)</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color w:val="auto"/>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color w:val="auto"/>
          <w:sz w:val="32"/>
          <w:szCs w:val="32"/>
          <w:lang w:eastAsia="zh-CN"/>
        </w:rPr>
        <w:t>对腾讯控股有限公司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以下简称腾讯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收购北京拍店电子商务有限公司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以下简称北京拍店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股权</w:t>
      </w:r>
      <w:r>
        <w:rPr>
          <w:rFonts w:hint="default" w:ascii="Times New Roman" w:hAnsi="Times New Roman" w:eastAsia="仿宋_GB2312" w:cs="Times New Roman"/>
          <w:color w:val="auto"/>
          <w:sz w:val="32"/>
        </w:rPr>
        <w:t>涉嫌</w:t>
      </w:r>
      <w:r>
        <w:rPr>
          <w:rFonts w:hint="eastAsia" w:ascii="Times New Roman" w:hAnsi="Times New Roman" w:eastAsia="仿宋_GB2312" w:cs="Times New Roman"/>
          <w:color w:val="auto"/>
          <w:sz w:val="32"/>
          <w:lang w:eastAsia="zh-CN"/>
        </w:rPr>
        <w:t>未依法申报</w:t>
      </w:r>
      <w:r>
        <w:rPr>
          <w:rFonts w:hint="default" w:ascii="Times New Roman" w:hAnsi="Times New Roman" w:eastAsia="仿宋_GB2312" w:cs="Times New Roman"/>
          <w:color w:val="auto"/>
          <w:sz w:val="32"/>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经查，该案构成</w:t>
      </w:r>
      <w:r>
        <w:rPr>
          <w:rFonts w:hint="eastAsia" w:ascii="Times New Roman" w:hAnsi="Times New Roman"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违法实施的经营者集中，但不具有排除、限制竞争的效果。本机关按照《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eastAsia="仿宋_GB2312" w:cs="Times New Roman"/>
          <w:color w:val="auto"/>
          <w:sz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eastAsia="仿宋_GB2312" w:cs="Times New Roman"/>
          <w:color w:val="auto"/>
          <w:sz w:val="32"/>
          <w:lang w:val="en-US" w:eastAsia="zh-CN"/>
        </w:rPr>
        <w:t>腾讯</w:t>
      </w:r>
      <w:r>
        <w:rPr>
          <w:rFonts w:hint="default" w:ascii="Times New Roman" w:hAnsi="Times New Roman" w:eastAsia="仿宋_GB2312" w:cs="Times New Roman"/>
          <w:color w:val="auto"/>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（一）交易方。</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ind w:left="0" w:firstLine="628" w:firstLineChars="20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b/>
          <w:bCs/>
          <w:color w:val="auto"/>
          <w:sz w:val="32"/>
          <w:lang w:val="en-US" w:eastAsia="zh-CN"/>
        </w:rPr>
        <w:t>收购方：腾讯。</w:t>
      </w:r>
      <w:r>
        <w:rPr>
          <w:rFonts w:hint="default" w:ascii="Times New Roman" w:hAnsi="Times New Roman" w:eastAsia="仿宋_GB2312" w:cs="Times New Roman"/>
          <w:color w:val="auto"/>
          <w:sz w:val="32"/>
          <w:lang w:val="en-US" w:eastAsia="zh-CN"/>
        </w:rPr>
        <w:t>1999年11月在英属维尔京群岛注册成立，2004年2月迁册至英属开曼群岛，2004年6月在香港联交所上市，通过协议控制境内运营实体深圳市腾讯计算机系统有限公司，主要业务为社交和通信服务、社交网络平台、游戏、网络视频服务、互动娱乐直播等，2016年腾讯全球</w:t>
      </w:r>
      <w:r>
        <w:rPr>
          <w:rFonts w:hint="eastAsia" w:ascii="Times New Roman" w:hAnsi="Times New Roman" w:eastAsia="仿宋_GB2312" w:cs="Times New Roman"/>
          <w:color w:val="auto"/>
          <w:sz w:val="32"/>
          <w:lang w:val="en-US" w:eastAsia="zh-CN"/>
        </w:rPr>
        <w:t>和中国境内</w:t>
      </w:r>
      <w:r>
        <w:rPr>
          <w:rFonts w:hint="default" w:ascii="Times New Roman" w:hAnsi="Times New Roman" w:eastAsia="仿宋_GB2312" w:cs="Times New Roman"/>
          <w:color w:val="auto"/>
          <w:sz w:val="32"/>
          <w:lang w:val="en-US" w:eastAsia="zh-CN"/>
        </w:rPr>
        <w:t>营业额</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color w:val="auto"/>
          <w:sz w:val="32"/>
          <w:lang w:val="en-US" w:eastAsia="zh-CN"/>
        </w:rPr>
        <w:t>。</w:t>
      </w:r>
    </w:p>
    <w:p>
      <w:pPr>
        <w:pStyle w:val="2"/>
        <w:keepNext w:val="0"/>
        <w:keepLines w:val="0"/>
        <w:pageBreakBefore w:val="0"/>
        <w:kinsoku/>
        <w:wordWrap/>
        <w:topLinePunct w:val="0"/>
        <w:bidi w:val="0"/>
        <w:spacing w:after="0" w:line="594" w:lineRule="exact"/>
        <w:ind w:left="0" w:leftChars="0" w:firstLine="628"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color w:val="auto"/>
          <w:sz w:val="32"/>
          <w:szCs w:val="32"/>
          <w:lang w:eastAsia="zh-CN"/>
        </w:rPr>
        <w:t>被收购方</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kern w:val="2"/>
          <w:sz w:val="32"/>
          <w:szCs w:val="22"/>
          <w:lang w:val="en-US" w:eastAsia="zh-CN" w:bidi="ar-SA"/>
        </w:rPr>
        <w:t>北京拍店</w:t>
      </w:r>
      <w:r>
        <w:rPr>
          <w:rFonts w:hint="default" w:ascii="Times New Roman" w:hAnsi="Times New Roman" w:eastAsia="仿宋_GB2312" w:cs="Times New Roman"/>
          <w:color w:val="auto"/>
          <w:kern w:val="2"/>
          <w:sz w:val="32"/>
          <w:szCs w:val="22"/>
          <w:lang w:val="en-US" w:eastAsia="zh-CN" w:bidi="ar-SA"/>
        </w:rPr>
        <w:t>。2016年于北京市注册成立，最终控制人为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color w:val="auto"/>
          <w:kern w:val="2"/>
          <w:sz w:val="32"/>
          <w:szCs w:val="22"/>
          <w:lang w:val="en-US" w:eastAsia="zh-CN" w:bidi="ar-SA"/>
        </w:rPr>
        <w:t>和北京红杉铭德股权投资中心（以下简称红杉铭德），主要从事</w:t>
      </w:r>
      <w:r>
        <w:rPr>
          <w:rFonts w:hint="eastAsia" w:ascii="Times New Roman" w:hAnsi="Times New Roman" w:eastAsia="仿宋_GB2312" w:cs="Times New Roman"/>
          <w:color w:val="auto"/>
          <w:kern w:val="2"/>
          <w:sz w:val="32"/>
          <w:szCs w:val="22"/>
          <w:lang w:val="en-US" w:eastAsia="zh-CN" w:bidi="ar-SA"/>
        </w:rPr>
        <w:t>商品零售</w:t>
      </w:r>
      <w:r>
        <w:rPr>
          <w:rFonts w:hint="default" w:ascii="Times New Roman" w:hAnsi="Times New Roman" w:eastAsia="仿宋_GB2312" w:cs="Times New Roman"/>
          <w:color w:val="auto"/>
          <w:kern w:val="2"/>
          <w:sz w:val="32"/>
          <w:szCs w:val="22"/>
          <w:lang w:val="en-US" w:eastAsia="zh-CN" w:bidi="ar-SA"/>
        </w:rPr>
        <w:t>业务。2016年北京拍店</w:t>
      </w:r>
      <w:r>
        <w:rPr>
          <w:rFonts w:hint="default" w:ascii="Times New Roman" w:hAnsi="Times New Roman" w:eastAsia="仿宋_GB2312" w:cs="Times New Roman"/>
          <w:color w:val="auto"/>
          <w:sz w:val="32"/>
          <w:lang w:val="en-US" w:eastAsia="zh-CN"/>
        </w:rPr>
        <w:t>全球</w:t>
      </w:r>
      <w:r>
        <w:rPr>
          <w:rFonts w:hint="eastAsia" w:ascii="Times New Roman" w:hAnsi="Times New Roman" w:eastAsia="仿宋_GB2312" w:cs="Times New Roman"/>
          <w:color w:val="auto"/>
          <w:sz w:val="32"/>
          <w:lang w:val="en-US" w:eastAsia="zh-CN"/>
        </w:rPr>
        <w:t>和中国境内</w:t>
      </w:r>
      <w:r>
        <w:rPr>
          <w:rFonts w:hint="default" w:ascii="Times New Roman" w:hAnsi="Times New Roman" w:eastAsia="仿宋_GB2312" w:cs="Times New Roman"/>
          <w:color w:val="auto"/>
          <w:sz w:val="32"/>
          <w:lang w:val="en-US" w:eastAsia="zh-CN"/>
        </w:rPr>
        <w:t>营业额</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color w:val="auto"/>
          <w:kern w:val="2"/>
          <w:sz w:val="32"/>
          <w:szCs w:val="22"/>
          <w:lang w:val="en-US" w:eastAsia="zh-CN" w:bidi="ar-SA"/>
        </w:rPr>
        <w:t>。</w:t>
      </w:r>
    </w:p>
    <w:p>
      <w:pPr>
        <w:pStyle w:val="2"/>
        <w:keepNext w:val="0"/>
        <w:keepLines w:val="0"/>
        <w:pageBreakBefore w:val="0"/>
        <w:kinsoku/>
        <w:wordWrap/>
        <w:topLinePunct w:val="0"/>
        <w:bidi w:val="0"/>
        <w:spacing w:after="0" w:line="594" w:lineRule="exact"/>
        <w:ind w:left="0" w:leftChars="0" w:firstLine="628"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color w:val="auto"/>
          <w:kern w:val="2"/>
          <w:sz w:val="32"/>
          <w:szCs w:val="32"/>
          <w:lang w:val="en-US" w:eastAsia="zh-CN" w:bidi="ar-SA"/>
        </w:rPr>
        <w:t>目标公司其他股东：</w:t>
      </w:r>
      <w:r>
        <w:rPr>
          <w:rFonts w:hint="eastAsia" w:ascii="Times New Roman" w:hAnsi="Times New Roman" w:eastAsia="仿宋_GB2312" w:cs="Times New Roman"/>
          <w:color w:val="auto"/>
          <w:sz w:val="32"/>
          <w:lang w:val="en-US" w:eastAsia="zh-CN"/>
        </w:rPr>
        <w:t>（略）</w:t>
      </w:r>
    </w:p>
    <w:p>
      <w:pPr>
        <w:keepNext w:val="0"/>
        <w:keepLines w:val="0"/>
        <w:pageBreakBefore w:val="0"/>
        <w:widowControl/>
        <w:suppressLineNumbers w:val="0"/>
        <w:kinsoku/>
        <w:wordWrap/>
        <w:topLinePunct w:val="0"/>
        <w:bidi w:val="0"/>
        <w:spacing w:line="594" w:lineRule="exact"/>
        <w:ind w:left="0" w:leftChars="0" w:firstLine="628"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color w:val="auto"/>
          <w:kern w:val="2"/>
          <w:sz w:val="32"/>
          <w:szCs w:val="32"/>
          <w:lang w:val="en-US" w:eastAsia="zh-CN" w:bidi="ar-SA"/>
        </w:rPr>
        <w:t>目标公司其他股东：</w:t>
      </w:r>
      <w:r>
        <w:rPr>
          <w:rFonts w:hint="default" w:ascii="Times New Roman" w:hAnsi="Times New Roman" w:eastAsia="仿宋_GB2312" w:cs="Times New Roman"/>
          <w:color w:val="auto"/>
          <w:kern w:val="2"/>
          <w:sz w:val="32"/>
          <w:szCs w:val="22"/>
          <w:lang w:val="en-US" w:eastAsia="zh-CN" w:bidi="ar-SA"/>
        </w:rPr>
        <w:t>宁波梅山保税港区红杉灿辰投资管理合伙企业(以下简称红杉灿辰)，于2017年于浙江省宁波市注册成立，最终控制人为红杉铭德，主要从事投资管理业务。2016年红杉铭德</w:t>
      </w:r>
      <w:r>
        <w:rPr>
          <w:rFonts w:hint="default" w:ascii="Times New Roman" w:hAnsi="Times New Roman" w:eastAsia="仿宋_GB2312" w:cs="Times New Roman"/>
          <w:color w:val="auto"/>
          <w:sz w:val="32"/>
          <w:lang w:val="en-US" w:eastAsia="zh-CN"/>
        </w:rPr>
        <w:t>全球</w:t>
      </w:r>
      <w:r>
        <w:rPr>
          <w:rFonts w:hint="eastAsia" w:ascii="Times New Roman" w:hAnsi="Times New Roman" w:eastAsia="仿宋_GB2312" w:cs="Times New Roman"/>
          <w:color w:val="auto"/>
          <w:sz w:val="32"/>
          <w:lang w:val="en-US" w:eastAsia="zh-CN"/>
        </w:rPr>
        <w:t>和中国境内</w:t>
      </w:r>
      <w:r>
        <w:rPr>
          <w:rFonts w:hint="default" w:ascii="Times New Roman" w:hAnsi="Times New Roman" w:eastAsia="仿宋_GB2312" w:cs="Times New Roman"/>
          <w:color w:val="auto"/>
          <w:sz w:val="32"/>
          <w:lang w:val="en-US" w:eastAsia="zh-CN"/>
        </w:rPr>
        <w:t>营业额</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color w:val="auto"/>
          <w:kern w:val="2"/>
          <w:sz w:val="32"/>
          <w:szCs w:val="2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（二）交易概况。</w:t>
      </w:r>
    </w:p>
    <w:p>
      <w:pPr>
        <w:pStyle w:val="9"/>
        <w:keepNext w:val="0"/>
        <w:keepLines w:val="0"/>
        <w:pageBreakBefore w:val="0"/>
        <w:kinsoku/>
        <w:wordWrap/>
        <w:topLinePunct w:val="0"/>
        <w:bidi w:val="0"/>
        <w:spacing w:line="594" w:lineRule="exact"/>
        <w:ind w:firstLine="64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cs="Times New Roman"/>
          <w:bCs/>
          <w:color w:val="auto"/>
          <w:kern w:val="2"/>
          <w:sz w:val="32"/>
          <w:szCs w:val="32"/>
          <w:lang w:val="en-US" w:eastAsia="zh-CN" w:bidi="ar-SA"/>
        </w:rPr>
        <w:t>该</w:t>
      </w:r>
      <w:r>
        <w:rPr>
          <w:rFonts w:hint="default" w:ascii="Times New Roman" w:hAnsi="Times New Roman" w:eastAsia="仿宋_GB2312" w:cs="Times New Roman"/>
          <w:bCs/>
          <w:color w:val="auto"/>
          <w:kern w:val="2"/>
          <w:sz w:val="32"/>
          <w:szCs w:val="32"/>
          <w:lang w:val="en-US" w:eastAsia="zh-CN" w:bidi="ar-SA"/>
        </w:rPr>
        <w:t>交易系</w:t>
      </w:r>
      <w:r>
        <w:rPr>
          <w:rFonts w:hint="eastAsia" w:ascii="Times New Roman" w:hAnsi="Times New Roman" w:eastAsia="仿宋_GB2312" w:cs="Times New Roman"/>
          <w:bCs/>
          <w:color w:val="auto"/>
          <w:kern w:val="2"/>
          <w:sz w:val="32"/>
          <w:szCs w:val="32"/>
          <w:lang w:val="en-US" w:eastAsia="zh-CN" w:bidi="ar-SA"/>
        </w:rPr>
        <w:t>股权收购</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color w:val="auto"/>
          <w:kern w:val="2"/>
          <w:sz w:val="32"/>
          <w:szCs w:val="22"/>
          <w:lang w:val="en-US" w:eastAsia="zh-CN" w:bidi="ar-SA"/>
        </w:rPr>
        <w:t>2017年11月17日，腾讯通过子公司林芝腾讯科技有限公司与</w:t>
      </w:r>
      <w:r>
        <w:rPr>
          <w:rFonts w:hint="eastAsia" w:ascii="Times New Roman" w:hAnsi="Times New Roman" w:cs="Times New Roman"/>
          <w:color w:val="auto"/>
          <w:kern w:val="2"/>
          <w:sz w:val="32"/>
          <w:szCs w:val="22"/>
          <w:lang w:val="en-US" w:eastAsia="zh-CN" w:bidi="ar-SA"/>
        </w:rPr>
        <w:t>北京拍店</w:t>
      </w:r>
      <w:r>
        <w:rPr>
          <w:rFonts w:hint="default" w:ascii="Times New Roman" w:hAnsi="Times New Roman" w:eastAsia="仿宋_GB2312" w:cs="Times New Roman"/>
          <w:color w:val="auto"/>
          <w:kern w:val="2"/>
          <w:sz w:val="32"/>
          <w:szCs w:val="22"/>
          <w:lang w:val="en-US" w:eastAsia="zh-CN" w:bidi="ar-SA"/>
        </w:rPr>
        <w:t>等共同签署《增资协议》，认购北京拍店11%的股权，并取得共同控制权。2017年11月20日</w:t>
      </w:r>
      <w:r>
        <w:rPr>
          <w:rFonts w:hint="eastAsia" w:ascii="Times New Roman" w:hAnsi="Times New Roman" w:cs="Times New Roman"/>
          <w:color w:val="auto"/>
          <w:kern w:val="2"/>
          <w:sz w:val="32"/>
          <w:szCs w:val="2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color w:val="auto"/>
          <w:sz w:val="32"/>
          <w:szCs w:val="36"/>
          <w:lang w:eastAsia="zh-CN"/>
        </w:rPr>
      </w:pP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《反垄断法》第二十条</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color w:val="auto"/>
          <w:kern w:val="2"/>
          <w:sz w:val="32"/>
          <w:szCs w:val="22"/>
          <w:lang w:val="en-US" w:eastAsia="zh-CN" w:bidi="ar-SA"/>
        </w:rPr>
        <w:t>2017年11月17日</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22"/>
          <w:lang w:val="en-US" w:eastAsia="zh-CN" w:bidi="ar-SA"/>
        </w:rPr>
        <w:t>腾讯</w:t>
      </w:r>
      <w:r>
        <w:rPr>
          <w:rFonts w:hint="eastAsia" w:ascii="Times New Roman" w:hAnsi="Times New Roman" w:eastAsia="仿宋_GB2312" w:cs="Times New Roman"/>
          <w:b w:val="0"/>
          <w:bCs w:val="0"/>
          <w:color w:val="auto"/>
          <w:kern w:val="2"/>
          <w:sz w:val="32"/>
          <w:szCs w:val="32"/>
          <w:lang w:val="en-US" w:eastAsia="zh-CN" w:bidi="ar-SA"/>
        </w:rPr>
        <w:t>收购</w:t>
      </w:r>
      <w:r>
        <w:rPr>
          <w:rFonts w:hint="default" w:ascii="Times New Roman" w:hAnsi="Times New Roman" w:eastAsia="仿宋_GB2312" w:cs="Times New Roman"/>
          <w:color w:val="auto"/>
          <w:kern w:val="2"/>
          <w:sz w:val="32"/>
          <w:szCs w:val="22"/>
          <w:lang w:val="en-US" w:eastAsia="zh-CN" w:bidi="ar-SA"/>
        </w:rPr>
        <w:t>北京拍店11%</w:t>
      </w:r>
      <w:r>
        <w:rPr>
          <w:rFonts w:hint="eastAsia" w:ascii="Times New Roman" w:hAnsi="Times New Roman" w:eastAsia="仿宋_GB2312" w:cs="Times New Roman"/>
          <w:b w:val="0"/>
          <w:bCs w:val="0"/>
          <w:color w:val="auto"/>
          <w:kern w:val="2"/>
          <w:sz w:val="32"/>
          <w:szCs w:val="32"/>
          <w:lang w:val="en-US" w:eastAsia="zh-CN" w:bidi="ar-SA"/>
        </w:rPr>
        <w:t>股权，</w:t>
      </w:r>
      <w:r>
        <w:rPr>
          <w:rFonts w:hint="eastAsia" w:ascii="Times New Roman" w:hAnsi="Times New Roman" w:eastAsia="仿宋_GB2312" w:cs="Times New Roman"/>
          <w:bCs/>
          <w:color w:val="auto"/>
          <w:kern w:val="2"/>
          <w:sz w:val="32"/>
          <w:szCs w:val="32"/>
          <w:lang w:val="en-US" w:eastAsia="zh-CN" w:bidi="ar-SA"/>
        </w:rPr>
        <w:t>取得共同控制权</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sz w:val="32"/>
          <w:szCs w:val="36"/>
          <w:lang w:eastAsia="zh-CN"/>
        </w:rPr>
        <w:t>属于《反垄断法》第二十条规定的经营者集中。</w:t>
      </w:r>
    </w:p>
    <w:p>
      <w:pPr>
        <w:pStyle w:val="9"/>
        <w:keepNext w:val="0"/>
        <w:keepLines w:val="0"/>
        <w:pageBreakBefore w:val="0"/>
        <w:widowControl w:val="0"/>
        <w:kinsoku/>
        <w:wordWrap/>
        <w:topLinePunct w:val="0"/>
        <w:bidi w:val="0"/>
        <w:adjustRightInd w:val="0"/>
        <w:spacing w:line="594" w:lineRule="exact"/>
        <w:ind w:left="0" w:firstLine="643"/>
        <w:textAlignment w:val="auto"/>
        <w:rPr>
          <w:rFonts w:hint="default" w:ascii="Times New Roman" w:hAnsi="Times New Roman" w:eastAsia="仿宋_GB2312" w:cs="Times New Roman"/>
          <w:bCs/>
          <w:color w:val="auto"/>
          <w:kern w:val="2"/>
          <w:sz w:val="32"/>
          <w:szCs w:val="32"/>
          <w:u w:val="none"/>
          <w:lang w:val="en-US" w:eastAsia="zh-CN" w:bidi="ar-SA"/>
        </w:rPr>
      </w:pPr>
      <w:r>
        <w:rPr>
          <w:rFonts w:hint="default" w:ascii="Times New Roman" w:hAnsi="Times New Roman" w:eastAsia="仿宋_GB2312" w:cs="Times New Roman"/>
          <w:bCs/>
          <w:color w:val="auto"/>
          <w:kern w:val="2"/>
          <w:sz w:val="32"/>
          <w:szCs w:val="32"/>
          <w:u w:val="none"/>
          <w:lang w:val="en-US" w:eastAsia="zh-CN" w:bidi="ar-SA"/>
        </w:rPr>
        <w:t>腾讯</w:t>
      </w:r>
      <w:r>
        <w:rPr>
          <w:rFonts w:hint="default" w:ascii="Times New Roman" w:hAnsi="Times New Roman" w:eastAsia="仿宋_GB2312" w:cs="Times New Roman"/>
          <w:color w:val="auto"/>
          <w:kern w:val="2"/>
          <w:sz w:val="32"/>
          <w:szCs w:val="22"/>
          <w:lang w:val="en-US" w:eastAsia="zh-CN" w:bidi="ar-SA"/>
        </w:rPr>
        <w:t>2016</w:t>
      </w:r>
      <w:r>
        <w:rPr>
          <w:rFonts w:hint="default" w:ascii="Times New Roman" w:hAnsi="Times New Roman" w:eastAsia="仿宋_GB2312" w:cs="Times New Roman"/>
          <w:bCs/>
          <w:color w:val="auto"/>
          <w:kern w:val="2"/>
          <w:sz w:val="32"/>
          <w:szCs w:val="32"/>
          <w:u w:val="none"/>
          <w:lang w:val="en-US" w:eastAsia="zh-CN" w:bidi="ar-SA"/>
        </w:rPr>
        <w:t>年</w:t>
      </w:r>
      <w:r>
        <w:rPr>
          <w:rFonts w:hint="default" w:ascii="Times New Roman" w:hAnsi="Times New Roman" w:eastAsia="仿宋_GB2312" w:cs="Times New Roman"/>
          <w:color w:val="auto"/>
          <w:sz w:val="32"/>
          <w:lang w:val="en-US" w:eastAsia="zh-CN"/>
        </w:rPr>
        <w:t>全球</w:t>
      </w:r>
      <w:r>
        <w:rPr>
          <w:rFonts w:hint="eastAsia" w:ascii="Times New Roman" w:hAnsi="Times New Roman" w:eastAsia="仿宋_GB2312" w:cs="Times New Roman"/>
          <w:color w:val="auto"/>
          <w:sz w:val="32"/>
          <w:lang w:val="en-US" w:eastAsia="zh-CN"/>
        </w:rPr>
        <w:t>和中国境内</w:t>
      </w:r>
      <w:r>
        <w:rPr>
          <w:rFonts w:hint="default" w:ascii="Times New Roman" w:hAnsi="Times New Roman" w:eastAsia="仿宋_GB2312" w:cs="Times New Roman"/>
          <w:color w:val="auto"/>
          <w:sz w:val="32"/>
          <w:lang w:val="en-US" w:eastAsia="zh-CN"/>
        </w:rPr>
        <w:t>营业额</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22"/>
          <w:lang w:val="en-US" w:eastAsia="zh-CN" w:bidi="ar-SA"/>
        </w:rPr>
        <w:t>红杉铭德2016</w:t>
      </w:r>
      <w:r>
        <w:rPr>
          <w:rFonts w:hint="default" w:ascii="Times New Roman" w:hAnsi="Times New Roman" w:eastAsia="仿宋_GB2312" w:cs="Times New Roman"/>
          <w:bCs/>
          <w:color w:val="auto"/>
          <w:kern w:val="2"/>
          <w:sz w:val="32"/>
          <w:szCs w:val="32"/>
          <w:u w:val="none"/>
          <w:lang w:val="en-US" w:eastAsia="zh-CN" w:bidi="ar-SA"/>
        </w:rPr>
        <w:t>年</w:t>
      </w:r>
      <w:r>
        <w:rPr>
          <w:rFonts w:hint="default" w:ascii="Times New Roman" w:hAnsi="Times New Roman" w:eastAsia="仿宋_GB2312" w:cs="Times New Roman"/>
          <w:color w:val="auto"/>
          <w:sz w:val="32"/>
          <w:lang w:val="en-US" w:eastAsia="zh-CN"/>
        </w:rPr>
        <w:t>全球</w:t>
      </w:r>
      <w:r>
        <w:rPr>
          <w:rFonts w:hint="eastAsia" w:ascii="Times New Roman" w:hAnsi="Times New Roman" w:eastAsia="仿宋_GB2312" w:cs="Times New Roman"/>
          <w:color w:val="auto"/>
          <w:sz w:val="32"/>
          <w:lang w:val="en-US" w:eastAsia="zh-CN"/>
        </w:rPr>
        <w:t>和中国境内</w:t>
      </w:r>
      <w:r>
        <w:rPr>
          <w:rFonts w:hint="default" w:ascii="Times New Roman" w:hAnsi="Times New Roman" w:eastAsia="仿宋_GB2312" w:cs="Times New Roman"/>
          <w:color w:val="auto"/>
          <w:sz w:val="32"/>
          <w:lang w:val="en-US" w:eastAsia="zh-CN"/>
        </w:rPr>
        <w:t>营业额</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color w:val="auto"/>
          <w:kern w:val="2"/>
          <w:sz w:val="32"/>
          <w:szCs w:val="32"/>
          <w:u w:val="none"/>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628"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《反垄断法》第二十一条</w:t>
      </w:r>
      <w:r>
        <w:rPr>
          <w:rFonts w:hint="default" w:ascii="Times New Roman" w:hAnsi="Times New Roman" w:eastAsia="仿宋_GB2312" w:cs="Times New Roman"/>
          <w:color w:val="auto"/>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color w:val="auto"/>
          <w:kern w:val="2"/>
          <w:sz w:val="32"/>
          <w:szCs w:val="22"/>
          <w:lang w:val="en-US" w:eastAsia="zh-CN" w:bidi="ar-SA"/>
        </w:rPr>
        <w:t>2017年11月20日</w:t>
      </w:r>
      <w:r>
        <w:rPr>
          <w:rFonts w:hint="eastAsia" w:ascii="Times New Roman" w:hAnsi="Times New Roman" w:eastAsia="仿宋_GB2312" w:cs="Times New Roman"/>
          <w:b w:val="0"/>
          <w:bCs w:val="0"/>
          <w:color w:val="auto"/>
          <w:kern w:val="2"/>
          <w:sz w:val="32"/>
          <w:szCs w:val="32"/>
          <w:lang w:val="en-US" w:eastAsia="zh-CN" w:bidi="ar-SA"/>
        </w:rPr>
        <w:t>，北京拍店完成股权变更登记</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u w:val="none"/>
          <w:lang w:val="en-US" w:eastAsia="zh-CN" w:bidi="ar-SA"/>
        </w:rPr>
        <w:t>在此之前未</w:t>
      </w:r>
      <w:r>
        <w:rPr>
          <w:rFonts w:hint="eastAsia" w:ascii="Times New Roman" w:hAnsi="Times New Roman" w:eastAsia="仿宋_GB2312" w:cs="Times New Roman"/>
          <w:bCs/>
          <w:color w:val="auto"/>
          <w:kern w:val="2"/>
          <w:sz w:val="32"/>
          <w:szCs w:val="32"/>
          <w:u w:val="none"/>
          <w:lang w:val="en-US" w:eastAsia="zh-CN" w:bidi="ar-SA"/>
        </w:rPr>
        <w:t>依法</w:t>
      </w:r>
      <w:r>
        <w:rPr>
          <w:rFonts w:hint="default" w:ascii="Times New Roman" w:hAnsi="Times New Roman" w:eastAsia="仿宋_GB2312" w:cs="Times New Roman"/>
          <w:bCs/>
          <w:color w:val="auto"/>
          <w:kern w:val="2"/>
          <w:sz w:val="32"/>
          <w:szCs w:val="32"/>
          <w:u w:val="none"/>
          <w:lang w:val="en-US" w:eastAsia="zh-CN" w:bidi="ar-SA"/>
        </w:rPr>
        <w:t>申报，违反《反垄断法》第二十一条，构成</w:t>
      </w:r>
      <w:r>
        <w:rPr>
          <w:rFonts w:hint="eastAsia" w:ascii="Times New Roman" w:hAnsi="Times New Roman" w:eastAsia="仿宋_GB2312" w:cs="Times New Roman"/>
          <w:bCs/>
          <w:color w:val="auto"/>
          <w:kern w:val="2"/>
          <w:sz w:val="32"/>
          <w:szCs w:val="32"/>
          <w:u w:val="none"/>
          <w:lang w:val="en-US" w:eastAsia="zh-CN" w:bidi="ar-SA"/>
        </w:rPr>
        <w:t>未依法申报</w:t>
      </w:r>
      <w:r>
        <w:rPr>
          <w:rFonts w:hint="default" w:ascii="Times New Roman" w:hAnsi="Times New Roman" w:eastAsia="仿宋_GB2312" w:cs="Times New Roman"/>
          <w:bCs/>
          <w:color w:val="auto"/>
          <w:kern w:val="2"/>
          <w:sz w:val="32"/>
          <w:szCs w:val="32"/>
          <w:u w:val="none"/>
          <w:lang w:val="en-US" w:eastAsia="zh-CN" w:bidi="ar-SA"/>
        </w:rPr>
        <w:t>违法实施</w:t>
      </w:r>
      <w:r>
        <w:rPr>
          <w:rFonts w:hint="default" w:ascii="Times New Roman" w:hAnsi="Times New Roman" w:eastAsia="仿宋_GB2312" w:cs="Times New Roman"/>
          <w:color w:val="auto"/>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本机关就</w:t>
      </w:r>
      <w:r>
        <w:rPr>
          <w:rFonts w:hint="eastAsia" w:ascii="Times New Roman" w:hAnsi="Times New Roman" w:eastAsia="仿宋_GB2312" w:cs="Times New Roman"/>
          <w:b w:val="0"/>
          <w:bCs w:val="0"/>
          <w:color w:val="auto"/>
          <w:kern w:val="2"/>
          <w:sz w:val="32"/>
          <w:szCs w:val="32"/>
          <w:lang w:val="en-US" w:eastAsia="zh-CN" w:bidi="ar-SA"/>
        </w:rPr>
        <w:t>腾讯收购北京拍店</w:t>
      </w:r>
      <w:r>
        <w:rPr>
          <w:rFonts w:hint="eastAsia" w:ascii="Times New Roman" w:hAnsi="Times New Roman" w:eastAsia="仿宋_GB2312" w:cs="Times New Roman"/>
          <w:color w:val="auto"/>
          <w:kern w:val="2"/>
          <w:sz w:val="32"/>
          <w:szCs w:val="32"/>
          <w:lang w:eastAsia="zh-CN"/>
        </w:rPr>
        <w:t>股权</w:t>
      </w:r>
      <w:r>
        <w:rPr>
          <w:rFonts w:hint="default" w:ascii="Times New Roman" w:hAnsi="Times New Roman" w:eastAsia="仿宋_GB2312" w:cs="Times New Roman"/>
          <w:color w:val="auto"/>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rPr>
        <w:t>《反垄断法》第四十八条</w:t>
      </w:r>
      <w:r>
        <w:rPr>
          <w:rFonts w:hint="default" w:ascii="Times New Roman" w:hAnsi="Times New Roman" w:eastAsia="仿宋_GB2312" w:cs="Times New Roman"/>
          <w:bCs/>
          <w:color w:val="auto"/>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auto"/>
          <w:kern w:val="2"/>
          <w:sz w:val="32"/>
          <w:szCs w:val="32"/>
        </w:rPr>
        <w:t>《反垄断法》第四十九条</w:t>
      </w:r>
      <w:r>
        <w:rPr>
          <w:rFonts w:hint="default" w:ascii="Times New Roman" w:hAnsi="Times New Roman" w:eastAsia="仿宋_GB2312" w:cs="Times New Roman"/>
          <w:bCs/>
          <w:color w:val="auto"/>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rPr>
        <w:t>根据</w:t>
      </w:r>
      <w:r>
        <w:rPr>
          <w:rFonts w:hint="default" w:ascii="Times New Roman" w:hAnsi="Times New Roman" w:eastAsia="仿宋_GB2312" w:cs="Times New Roman"/>
          <w:bCs/>
          <w:color w:val="auto"/>
          <w:kern w:val="2"/>
          <w:sz w:val="32"/>
          <w:szCs w:val="32"/>
          <w:lang w:eastAsia="zh-CN"/>
        </w:rPr>
        <w:t>上述规定，</w:t>
      </w:r>
      <w:r>
        <w:rPr>
          <w:rFonts w:hint="default" w:ascii="Times New Roman" w:hAnsi="Times New Roman" w:eastAsia="仿宋_GB2312" w:cs="Times New Roman"/>
          <w:bCs/>
          <w:color w:val="auto"/>
          <w:kern w:val="2"/>
          <w:sz w:val="32"/>
          <w:szCs w:val="32"/>
        </w:rPr>
        <w:t>基于调查</w:t>
      </w:r>
      <w:r>
        <w:rPr>
          <w:rFonts w:hint="default" w:ascii="Times New Roman" w:hAnsi="Times New Roman" w:eastAsia="仿宋_GB2312" w:cs="Times New Roman"/>
          <w:bCs/>
          <w:color w:val="auto"/>
          <w:kern w:val="2"/>
          <w:sz w:val="32"/>
          <w:szCs w:val="32"/>
          <w:lang w:eastAsia="zh-CN"/>
        </w:rPr>
        <w:t>情况和评估结论，本机关给予</w:t>
      </w:r>
      <w:r>
        <w:rPr>
          <w:rFonts w:hint="eastAsia" w:eastAsia="仿宋_GB2312" w:cs="Times New Roman"/>
          <w:bCs/>
          <w:color w:val="auto"/>
          <w:kern w:val="2"/>
          <w:sz w:val="32"/>
          <w:szCs w:val="32"/>
          <w:lang w:val="en-US" w:eastAsia="zh-CN"/>
        </w:rPr>
        <w:t>腾讯</w:t>
      </w:r>
      <w:r>
        <w:rPr>
          <w:rFonts w:hint="default" w:ascii="Times New Roman" w:hAnsi="Times New Roman" w:eastAsia="仿宋_GB2312" w:cs="Times New Roman"/>
          <w:bCs/>
          <w:color w:val="auto"/>
          <w:kern w:val="2"/>
          <w:sz w:val="32"/>
          <w:szCs w:val="32"/>
          <w:lang w:val="en-US" w:eastAsia="zh-CN"/>
        </w:rPr>
        <w:t>5</w:t>
      </w:r>
      <w:r>
        <w:rPr>
          <w:rFonts w:hint="default" w:ascii="Times New Roman" w:hAnsi="Times New Roman" w:eastAsia="仿宋_GB2312" w:cs="Times New Roman"/>
          <w:bCs/>
          <w:color w:val="auto"/>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eastAsia"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w:t>
      </w:r>
      <w:r>
        <w:rPr>
          <w:rFonts w:hint="eastAsia" w:eastAsia="仿宋_GB2312" w:cs="Times New Roman"/>
          <w:color w:val="auto"/>
          <w:kern w:val="2"/>
          <w:sz w:val="32"/>
          <w:szCs w:val="32"/>
          <w:lang w:eastAsia="zh-CN"/>
        </w:rPr>
        <w:t>六十八</w:t>
      </w:r>
      <w:r>
        <w:rPr>
          <w:rFonts w:hint="default" w:ascii="Times New Roman" w:hAnsi="Times New Roman" w:eastAsia="仿宋_GB2312" w:cs="Times New Roman"/>
          <w:color w:val="auto"/>
          <w:kern w:val="2"/>
          <w:sz w:val="32"/>
          <w:szCs w:val="32"/>
          <w:lang w:eastAsia="zh-CN"/>
        </w:rPr>
        <w:t>条、第</w:t>
      </w:r>
      <w:r>
        <w:rPr>
          <w:rFonts w:hint="eastAsia" w:eastAsia="仿宋_GB2312" w:cs="Times New Roman"/>
          <w:color w:val="auto"/>
          <w:kern w:val="2"/>
          <w:sz w:val="32"/>
          <w:szCs w:val="32"/>
          <w:lang w:eastAsia="zh-CN"/>
        </w:rPr>
        <w:t>六十九</w:t>
      </w:r>
      <w:r>
        <w:rPr>
          <w:rFonts w:hint="default" w:ascii="Times New Roman" w:hAnsi="Times New Roman" w:eastAsia="仿宋_GB2312" w:cs="Times New Roman"/>
          <w:color w:val="auto"/>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color w:val="auto"/>
          <w:kern w:val="2"/>
          <w:sz w:val="32"/>
          <w:szCs w:val="32"/>
          <w:lang w:eastAsia="zh-CN"/>
        </w:rPr>
        <w:t>或者通过电子支付系统</w:t>
      </w:r>
      <w:r>
        <w:rPr>
          <w:rFonts w:hint="default" w:ascii="Times New Roman" w:hAnsi="Times New Roman" w:eastAsia="仿宋_GB2312" w:cs="Times New Roman"/>
          <w:color w:val="auto"/>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eastAsia"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eastAsia"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eastAsia="仿宋_GB2312" w:cs="Times New Roman"/>
          <w:color w:val="auto"/>
          <w:kern w:val="2"/>
          <w:sz w:val="32"/>
          <w:szCs w:val="32"/>
          <w:lang w:eastAsia="zh-CN"/>
        </w:rPr>
        <w:t>缴纳</w:t>
      </w:r>
      <w:bookmarkStart w:id="0" w:name="_GoBack"/>
      <w:bookmarkEnd w:id="0"/>
      <w:r>
        <w:rPr>
          <w:rFonts w:hint="default" w:ascii="Times New Roman" w:hAnsi="Times New Roman" w:eastAsia="仿宋_GB2312" w:cs="Times New Roman"/>
          <w:color w:val="auto"/>
          <w:kern w:val="2"/>
          <w:sz w:val="32"/>
          <w:szCs w:val="32"/>
        </w:rPr>
        <w:t>罚款。缴款码：</w:t>
      </w:r>
      <w:r>
        <w:rPr>
          <w:rFonts w:hint="default" w:ascii="Times New Roman" w:hAnsi="Times New Roman" w:eastAsia="仿宋_GB2312" w:cs="Times New Roman"/>
          <w:color w:val="auto"/>
          <w:kern w:val="2"/>
          <w:sz w:val="32"/>
          <w:szCs w:val="32"/>
          <w:highlight w:val="none"/>
          <w:lang w:val="en-US" w:eastAsia="zh-CN"/>
        </w:rPr>
        <w:t>000000210</w:t>
      </w:r>
      <w:r>
        <w:rPr>
          <w:rFonts w:hint="eastAsia" w:eastAsia="仿宋_GB2312" w:cs="Times New Roman"/>
          <w:color w:val="auto"/>
          <w:kern w:val="2"/>
          <w:sz w:val="32"/>
          <w:szCs w:val="32"/>
          <w:highlight w:val="none"/>
          <w:lang w:val="en-US" w:eastAsia="zh-CN"/>
        </w:rPr>
        <w:t>2114877。</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kern w:val="2"/>
          <w:sz w:val="32"/>
          <w:szCs w:val="32"/>
          <w:lang w:eastAsia="zh-CN"/>
        </w:rPr>
      </w:pPr>
      <w:r>
        <w:rPr>
          <w:rFonts w:hint="eastAsia" w:ascii="Times New Roman" w:hAnsi="Times New Roman" w:eastAsia="仿宋_GB2312" w:cs="Times New Roman"/>
          <w:bCs/>
          <w:color w:val="auto"/>
          <w:kern w:val="2"/>
          <w:sz w:val="32"/>
          <w:szCs w:val="32"/>
          <w:lang w:eastAsia="zh-CN"/>
        </w:rPr>
        <w:t>当事人</w:t>
      </w:r>
      <w:r>
        <w:rPr>
          <w:rFonts w:hint="default" w:ascii="Times New Roman" w:hAnsi="Times New Roman" w:eastAsia="仿宋_GB2312" w:cs="Times New Roman"/>
          <w:bCs/>
          <w:color w:val="auto"/>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kinsoku/>
        <w:wordWrap/>
        <w:topLinePunct w:val="0"/>
        <w:bidi w:val="0"/>
        <w:spacing w:after="0" w:line="594" w:lineRule="exact"/>
        <w:textAlignment w:val="auto"/>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eastAsia"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eastAsia"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月</w:t>
      </w:r>
      <w:r>
        <w:rPr>
          <w:rFonts w:hint="eastAsia" w:eastAsia="仿宋_GB2312" w:cs="Times New Roman"/>
          <w:color w:val="auto"/>
          <w:kern w:val="2"/>
          <w:sz w:val="32"/>
          <w:szCs w:val="32"/>
          <w:lang w:val="en-US" w:eastAsia="zh-CN"/>
        </w:rPr>
        <w:t>15</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C53E2D"/>
    <w:rsid w:val="0153063F"/>
    <w:rsid w:val="01A839B5"/>
    <w:rsid w:val="01E27CAC"/>
    <w:rsid w:val="02686764"/>
    <w:rsid w:val="030E3C1A"/>
    <w:rsid w:val="03235387"/>
    <w:rsid w:val="04086D04"/>
    <w:rsid w:val="0449129C"/>
    <w:rsid w:val="04E14AA8"/>
    <w:rsid w:val="059906FA"/>
    <w:rsid w:val="067B71A9"/>
    <w:rsid w:val="06D05535"/>
    <w:rsid w:val="070623B3"/>
    <w:rsid w:val="075F674C"/>
    <w:rsid w:val="083430C7"/>
    <w:rsid w:val="09135B89"/>
    <w:rsid w:val="09AC08F5"/>
    <w:rsid w:val="0CC848C5"/>
    <w:rsid w:val="0D2865CE"/>
    <w:rsid w:val="0D4F123B"/>
    <w:rsid w:val="0F1D24C6"/>
    <w:rsid w:val="0F384CAE"/>
    <w:rsid w:val="0FA70C29"/>
    <w:rsid w:val="117B7B3A"/>
    <w:rsid w:val="124546B4"/>
    <w:rsid w:val="12D617D9"/>
    <w:rsid w:val="131E7A78"/>
    <w:rsid w:val="14E769C2"/>
    <w:rsid w:val="16657401"/>
    <w:rsid w:val="16A406A2"/>
    <w:rsid w:val="16DE70D7"/>
    <w:rsid w:val="17C04BCC"/>
    <w:rsid w:val="17EF4193"/>
    <w:rsid w:val="18DB1E51"/>
    <w:rsid w:val="192053EE"/>
    <w:rsid w:val="19FF5BD3"/>
    <w:rsid w:val="1A156921"/>
    <w:rsid w:val="1ADB3431"/>
    <w:rsid w:val="1B0337EA"/>
    <w:rsid w:val="1B095395"/>
    <w:rsid w:val="1B223165"/>
    <w:rsid w:val="1C2A697C"/>
    <w:rsid w:val="1C3B30D9"/>
    <w:rsid w:val="1D3570B1"/>
    <w:rsid w:val="1DFC651E"/>
    <w:rsid w:val="1F573D93"/>
    <w:rsid w:val="20983F5B"/>
    <w:rsid w:val="20EC1104"/>
    <w:rsid w:val="213B5A0D"/>
    <w:rsid w:val="24A01CB7"/>
    <w:rsid w:val="2608726A"/>
    <w:rsid w:val="261F51BF"/>
    <w:rsid w:val="264C3D8F"/>
    <w:rsid w:val="265326DA"/>
    <w:rsid w:val="26C54F4C"/>
    <w:rsid w:val="26D23DFE"/>
    <w:rsid w:val="281D191B"/>
    <w:rsid w:val="289B0A6E"/>
    <w:rsid w:val="28C8606C"/>
    <w:rsid w:val="28CA01DC"/>
    <w:rsid w:val="29171A1E"/>
    <w:rsid w:val="29E02F37"/>
    <w:rsid w:val="29F70A22"/>
    <w:rsid w:val="2CBC70C7"/>
    <w:rsid w:val="2F5A18F5"/>
    <w:rsid w:val="300B75DD"/>
    <w:rsid w:val="304868C5"/>
    <w:rsid w:val="3069119D"/>
    <w:rsid w:val="308D1FE3"/>
    <w:rsid w:val="30FE5E1A"/>
    <w:rsid w:val="31611C2C"/>
    <w:rsid w:val="31E778A8"/>
    <w:rsid w:val="32B6341A"/>
    <w:rsid w:val="33B94AAA"/>
    <w:rsid w:val="34714342"/>
    <w:rsid w:val="34A22DCA"/>
    <w:rsid w:val="35B03B5A"/>
    <w:rsid w:val="38043EF0"/>
    <w:rsid w:val="386A294D"/>
    <w:rsid w:val="3B5D2A4F"/>
    <w:rsid w:val="3CBF3D8F"/>
    <w:rsid w:val="3F1B7491"/>
    <w:rsid w:val="3F3B6D32"/>
    <w:rsid w:val="3F9631F0"/>
    <w:rsid w:val="44636FC9"/>
    <w:rsid w:val="45F50A3C"/>
    <w:rsid w:val="46E42D2C"/>
    <w:rsid w:val="471E5D70"/>
    <w:rsid w:val="48B07C4C"/>
    <w:rsid w:val="49513DE5"/>
    <w:rsid w:val="49F75885"/>
    <w:rsid w:val="4ABC40B8"/>
    <w:rsid w:val="4BE41131"/>
    <w:rsid w:val="4C375BA3"/>
    <w:rsid w:val="4EF957B9"/>
    <w:rsid w:val="4EFD73AF"/>
    <w:rsid w:val="4F555DBD"/>
    <w:rsid w:val="4FBB0857"/>
    <w:rsid w:val="4FDB2438"/>
    <w:rsid w:val="50983997"/>
    <w:rsid w:val="509E06F1"/>
    <w:rsid w:val="51075873"/>
    <w:rsid w:val="541C0068"/>
    <w:rsid w:val="5510036D"/>
    <w:rsid w:val="557D0F8D"/>
    <w:rsid w:val="58F35A97"/>
    <w:rsid w:val="5A8C3C9C"/>
    <w:rsid w:val="5B8B0DC5"/>
    <w:rsid w:val="5BDD2331"/>
    <w:rsid w:val="5D4E6DD5"/>
    <w:rsid w:val="5EBC3ACE"/>
    <w:rsid w:val="5EFA53DB"/>
    <w:rsid w:val="5F391542"/>
    <w:rsid w:val="602F6571"/>
    <w:rsid w:val="62E72A13"/>
    <w:rsid w:val="631604C1"/>
    <w:rsid w:val="64D15B37"/>
    <w:rsid w:val="656413FC"/>
    <w:rsid w:val="65C83415"/>
    <w:rsid w:val="662A0EB3"/>
    <w:rsid w:val="666A44BC"/>
    <w:rsid w:val="680C4124"/>
    <w:rsid w:val="6947638C"/>
    <w:rsid w:val="6A3F091C"/>
    <w:rsid w:val="6B870302"/>
    <w:rsid w:val="6C8D52AD"/>
    <w:rsid w:val="6F712D0C"/>
    <w:rsid w:val="71205B4B"/>
    <w:rsid w:val="729A2586"/>
    <w:rsid w:val="72B00292"/>
    <w:rsid w:val="7A782B89"/>
    <w:rsid w:val="7D1647CF"/>
    <w:rsid w:val="7D641176"/>
    <w:rsid w:val="FAB0BE9D"/>
    <w:rsid w:val="FFFDD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2020-12-11T10:26:00Z</dcterms:created>
  <dc:creator>徐霄飞</dc:creator>
  <cp:lastModifiedBy>greatwall</cp:lastModifiedBy>
  <cp:lastPrinted>2021-03-11T09:28:00Z</cp:lastPrinted>
  <dcterms:modified xsi:type="dcterms:W3CDTF">2021-11-19T14:37:16Z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