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topLinePunct w:val="0"/>
        <w:bidi w:val="0"/>
        <w:spacing w:after="0" w:afterLines="0" w:line="594" w:lineRule="exact"/>
        <w:jc w:val="both"/>
        <w:rPr>
          <w:rFonts w:ascii="Times New Roman"/>
          <w:kern w:val="2"/>
        </w:rPr>
      </w:pPr>
      <w:bookmarkStart w:id="7" w:name="_GoBack"/>
      <w:bookmarkEnd w:id="7"/>
      <w:bookmarkStart w:id="0" w:name="_Toc527306881"/>
      <w:bookmarkStart w:id="1" w:name="_Toc528826258"/>
      <w:bookmarkStart w:id="2" w:name="_Toc17235"/>
      <w:bookmarkStart w:id="3" w:name="_Toc529343112"/>
      <w:bookmarkStart w:id="4" w:name="_Toc23020_WPSOffice_Level1"/>
      <w:bookmarkStart w:id="5" w:name="_Toc527562381"/>
      <w:bookmarkStart w:id="6" w:name="_Toc527378176"/>
    </w:p>
    <w:bookmarkEnd w:id="0"/>
    <w:bookmarkEnd w:id="1"/>
    <w:bookmarkEnd w:id="2"/>
    <w:bookmarkEnd w:id="3"/>
    <w:bookmarkEnd w:id="4"/>
    <w:bookmarkEnd w:id="5"/>
    <w:bookmarkEnd w:id="6"/>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auto"/>
          <w:kern w:val="2"/>
          <w:sz w:val="52"/>
          <w:szCs w:val="52"/>
        </w:rPr>
      </w:pPr>
      <w:r>
        <w:rPr>
          <w:rFonts w:hint="default" w:ascii="Times New Roman" w:hAnsi="Times New Roman" w:eastAsia="黑体" w:cs="Times New Roman"/>
          <w:bCs/>
          <w:color w:val="auto"/>
          <w:spacing w:val="30"/>
          <w:kern w:val="0"/>
          <w:sz w:val="52"/>
          <w:szCs w:val="52"/>
          <w:fitText w:val="5742" w:id="-268436976"/>
        </w:rPr>
        <w:t>国家市场监督管理总</w:t>
      </w:r>
      <w:r>
        <w:rPr>
          <w:rFonts w:hint="default" w:ascii="Times New Roman" w:hAnsi="Times New Roman" w:eastAsia="黑体" w:cs="Times New Roman"/>
          <w:bCs/>
          <w:color w:val="auto"/>
          <w:spacing w:val="1"/>
          <w:kern w:val="0"/>
          <w:sz w:val="52"/>
          <w:szCs w:val="52"/>
          <w:fitText w:val="5742" w:id="-268436976"/>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auto"/>
          <w:kern w:val="2"/>
          <w:sz w:val="44"/>
          <w:szCs w:val="44"/>
        </w:rPr>
      </w:pPr>
      <w:r>
        <w:rPr>
          <w:rFonts w:hint="default" w:ascii="Times New Roman" w:hAnsi="Times New Roman" w:eastAsia="黑体" w:cs="Times New Roman"/>
          <w:bCs/>
          <w:color w:val="auto"/>
          <w:spacing w:val="175"/>
          <w:kern w:val="0"/>
          <w:sz w:val="52"/>
          <w:szCs w:val="52"/>
          <w:fitText w:val="5742" w:id="1575914254"/>
        </w:rPr>
        <w:t>行政处罚决定</w:t>
      </w:r>
      <w:r>
        <w:rPr>
          <w:rFonts w:hint="default" w:ascii="Times New Roman" w:hAnsi="Times New Roman" w:eastAsia="黑体" w:cs="Times New Roman"/>
          <w:bCs/>
          <w:color w:val="auto"/>
          <w:spacing w:val="1"/>
          <w:kern w:val="0"/>
          <w:sz w:val="52"/>
          <w:szCs w:val="52"/>
          <w:fitText w:val="5742" w:id="1575914254"/>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111</w:t>
      </w:r>
      <w:r>
        <w:rPr>
          <w:rFonts w:hint="default" w:ascii="Times New Roman" w:hAnsi="Times New Roman" w:eastAsia="仿宋_GB2312" w:cs="Times New Roman"/>
          <w:color w:val="auto"/>
          <w:kern w:val="2"/>
          <w:sz w:val="32"/>
          <w:szCs w:val="32"/>
        </w:rPr>
        <w:t>号</w:t>
      </w:r>
    </w:p>
    <w:p>
      <w:pPr>
        <w:keepNext w:val="0"/>
        <w:keepLines w:val="0"/>
        <w:pageBreakBefore w:val="0"/>
        <w:widowControl w:val="0"/>
        <w:kinsoku/>
        <w:wordWrap/>
        <w:topLinePunct w:val="0"/>
        <w:bidi w:val="0"/>
        <w:adjustRightInd w:val="0"/>
        <w:snapToGrid w:val="0"/>
        <w:spacing w:line="594" w:lineRule="exact"/>
        <w:jc w:val="left"/>
        <w:rPr>
          <w:rFonts w:ascii="Times New Roman" w:hAnsi="Times New Roman"/>
          <w:color w:val="auto"/>
          <w:sz w:val="30"/>
          <w:szCs w:val="30"/>
          <w:u w:val="single"/>
        </w:rPr>
      </w:pPr>
    </w:p>
    <w:p>
      <w:pPr>
        <w:keepNext w:val="0"/>
        <w:keepLines w:val="0"/>
        <w:pageBreakBefore w:val="0"/>
        <w:widowControl w:val="0"/>
        <w:kinsoku/>
        <w:wordWrap/>
        <w:topLinePunct w:val="0"/>
        <w:bidi w:val="0"/>
        <w:spacing w:line="594" w:lineRule="exact"/>
        <w:ind w:firstLine="640" w:firstLineChars="200"/>
        <w:rPr>
          <w:rFonts w:ascii="Times New Roman" w:hAnsi="Times New Roman" w:eastAsia="FangSong_GB2312"/>
          <w:color w:val="auto"/>
          <w:sz w:val="32"/>
          <w:szCs w:val="32"/>
        </w:rPr>
      </w:pPr>
      <w:r>
        <w:rPr>
          <w:rFonts w:hint="default" w:ascii="Times New Roman" w:hAnsi="Times New Roman" w:eastAsia="黑体" w:cs="Times New Roman"/>
          <w:color w:val="auto"/>
          <w:kern w:val="2"/>
          <w:sz w:val="32"/>
          <w:szCs w:val="32"/>
        </w:rPr>
        <w:t>当事人：</w:t>
      </w:r>
      <w:r>
        <w:rPr>
          <w:rFonts w:ascii="Times New Roman" w:hAnsi="Times New Roman" w:eastAsia="FangSong_GB2312"/>
          <w:color w:val="auto"/>
          <w:sz w:val="32"/>
          <w:szCs w:val="32"/>
        </w:rPr>
        <w:t>腾讯控股有限公司</w:t>
      </w:r>
    </w:p>
    <w:p>
      <w:pPr>
        <w:pStyle w:val="5"/>
        <w:keepNext w:val="0"/>
        <w:keepLines w:val="0"/>
        <w:pageBreakBefore w:val="0"/>
        <w:widowControl w:val="0"/>
        <w:kinsoku/>
        <w:wordWrap/>
        <w:topLinePunct w:val="0"/>
        <w:bidi w:val="0"/>
        <w:snapToGrid/>
        <w:spacing w:after="0" w:line="594" w:lineRule="exact"/>
        <w:ind w:firstLine="640" w:firstLineChars="200"/>
        <w:textAlignment w:val="auto"/>
        <w:outlineLvl w:val="9"/>
        <w:rPr>
          <w:rFonts w:hint="eastAsia" w:ascii="Times New Roman" w:hAnsi="Times New Roman" w:eastAsia="仿宋_GB2312" w:cs="Times New Roman"/>
          <w:color w:val="auto"/>
          <w:kern w:val="2"/>
          <w:sz w:val="32"/>
          <w:szCs w:val="32"/>
          <w:lang w:eastAsia="zh-CN"/>
        </w:rPr>
      </w:pPr>
      <w:r>
        <w:rPr>
          <w:rFonts w:hint="default" w:ascii="Times New Roman" w:hAnsi="Times New Roman" w:eastAsia="黑体" w:cs="Times New Roman"/>
          <w:color w:val="auto"/>
          <w:kern w:val="2"/>
          <w:sz w:val="32"/>
          <w:szCs w:val="32"/>
        </w:rPr>
        <w:t>住  所：</w:t>
      </w:r>
      <w:r>
        <w:rPr>
          <w:rFonts w:hint="eastAsia" w:ascii="Times New Roman" w:hAnsi="Times New Roman" w:eastAsia="仿宋_GB2312" w:cs="Times New Roman"/>
          <w:color w:val="auto"/>
          <w:kern w:val="2"/>
          <w:sz w:val="32"/>
          <w:szCs w:val="32"/>
          <w:lang w:val="en-US" w:eastAsia="zh-CN" w:bidi="ar-SA"/>
        </w:rPr>
        <w:t>开曼群岛哈金斯大道克里奇广场2681邮箱（Cricket Square Hutchins Drive P.O.Box 2681 Grand Cayman KYI-1111 Cayman Islands)</w:t>
      </w:r>
    </w:p>
    <w:p>
      <w:pPr>
        <w:pStyle w:val="5"/>
        <w:keepNext w:val="0"/>
        <w:keepLines w:val="0"/>
        <w:pageBreakBefore w:val="0"/>
        <w:widowControl w:val="0"/>
        <w:kinsoku/>
        <w:wordWrap/>
        <w:topLinePunct w:val="0"/>
        <w:bidi w:val="0"/>
        <w:spacing w:after="0" w:line="594" w:lineRule="exact"/>
        <w:rPr>
          <w:color w:val="auto"/>
        </w:rPr>
      </w:pPr>
    </w:p>
    <w:p>
      <w:pPr>
        <w:keepNext w:val="0"/>
        <w:keepLines w:val="0"/>
        <w:pageBreakBefore w:val="0"/>
        <w:widowControl w:val="0"/>
        <w:kinsoku/>
        <w:wordWrap/>
        <w:topLinePunct w:val="0"/>
        <w:bidi w:val="0"/>
        <w:spacing w:line="594" w:lineRule="exact"/>
        <w:ind w:firstLine="640" w:firstLineChars="200"/>
        <w:rPr>
          <w:rFonts w:ascii="Times New Roman" w:hAnsi="Times New Roman" w:eastAsia="FangSong_GB2312"/>
          <w:color w:val="auto"/>
          <w:sz w:val="32"/>
          <w:szCs w:val="32"/>
        </w:rPr>
      </w:pPr>
      <w:r>
        <w:rPr>
          <w:rFonts w:hint="default" w:ascii="Times New Roman" w:hAnsi="Times New Roman" w:eastAsia="仿宋_GB2312" w:cs="Times New Roman"/>
          <w:color w:val="auto"/>
          <w:kern w:val="2"/>
          <w:sz w:val="32"/>
          <w:szCs w:val="32"/>
        </w:rPr>
        <w:t>根据《</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反垄断法》</w:t>
      </w:r>
      <w:r>
        <w:rPr>
          <w:rFonts w:hint="default" w:ascii="Times New Roman" w:hAnsi="Times New Roman" w:eastAsia="仿宋_GB2312" w:cs="Times New Roman"/>
          <w:color w:val="auto"/>
          <w:sz w:val="32"/>
          <w:szCs w:val="32"/>
          <w:lang w:eastAsia="zh-CN"/>
        </w:rPr>
        <w:t>（以下简称《反垄断法》）</w:t>
      </w:r>
      <w:r>
        <w:rPr>
          <w:rFonts w:hint="default" w:ascii="Times New Roman" w:hAnsi="Times New Roman" w:eastAsia="仿宋_GB2312" w:cs="Times New Roman"/>
          <w:color w:val="auto"/>
          <w:kern w:val="2"/>
          <w:sz w:val="32"/>
          <w:szCs w:val="32"/>
          <w:lang w:eastAsia="zh-CN"/>
        </w:rPr>
        <w:t>《经营者集中审查暂行规定》</w:t>
      </w:r>
      <w:r>
        <w:rPr>
          <w:rFonts w:hint="default" w:ascii="Times New Roman" w:hAnsi="Times New Roman" w:eastAsia="仿宋_GB2312" w:cs="Times New Roman"/>
          <w:color w:val="auto"/>
          <w:kern w:val="2"/>
          <w:sz w:val="32"/>
          <w:szCs w:val="32"/>
        </w:rPr>
        <w:t>，本机关于</w:t>
      </w:r>
      <w:r>
        <w:rPr>
          <w:rFonts w:hint="default" w:ascii="Times New Roman" w:hAnsi="Times New Roman" w:eastAsia="仿宋_GB2312" w:cs="Times New Roman"/>
          <w:color w:val="auto"/>
          <w:sz w:val="32"/>
          <w:szCs w:val="32"/>
          <w:lang w:val="en-US" w:eastAsia="zh-CN"/>
        </w:rPr>
        <w:t>2021年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月12日</w:t>
      </w:r>
      <w:r>
        <w:rPr>
          <w:rFonts w:ascii="Times New Roman" w:hAnsi="Times New Roman" w:eastAsia="FangSong_GB2312"/>
          <w:color w:val="auto"/>
          <w:sz w:val="32"/>
          <w:szCs w:val="32"/>
        </w:rPr>
        <w:t>对腾讯控股有限公司（以下简称腾讯）</w:t>
      </w:r>
      <w:r>
        <w:rPr>
          <w:rFonts w:hint="eastAsia" w:ascii="Times New Roman" w:hAnsi="Times New Roman" w:eastAsia="FangSong_GB2312"/>
          <w:color w:val="auto"/>
          <w:sz w:val="32"/>
          <w:szCs w:val="32"/>
        </w:rPr>
        <w:t>收购</w:t>
      </w:r>
      <w:r>
        <w:rPr>
          <w:rFonts w:ascii="Times New Roman" w:hAnsi="Times New Roman" w:eastAsia="FangSong_GB2312"/>
          <w:color w:val="auto"/>
          <w:sz w:val="32"/>
          <w:szCs w:val="32"/>
        </w:rPr>
        <w:t>北京东方金信科技股份有限公司（以下简称东方金信）</w:t>
      </w:r>
      <w:r>
        <w:rPr>
          <w:rFonts w:hint="eastAsia" w:ascii="Times New Roman" w:hAnsi="Times New Roman" w:eastAsia="FangSong_GB2312"/>
          <w:color w:val="auto"/>
          <w:sz w:val="32"/>
          <w:szCs w:val="32"/>
        </w:rPr>
        <w:t>股权</w:t>
      </w:r>
      <w:r>
        <w:rPr>
          <w:rFonts w:ascii="Times New Roman" w:hAnsi="Times New Roman" w:eastAsia="FangSong_GB2312"/>
          <w:color w:val="auto"/>
          <w:sz w:val="32"/>
        </w:rPr>
        <w:t>涉嫌</w:t>
      </w:r>
      <w:r>
        <w:rPr>
          <w:rFonts w:hint="eastAsia" w:ascii="Times New Roman" w:hAnsi="Times New Roman" w:eastAsia="FangSong_GB2312"/>
          <w:color w:val="auto"/>
          <w:sz w:val="32"/>
        </w:rPr>
        <w:t>未依法申报</w:t>
      </w:r>
      <w:r>
        <w:rPr>
          <w:rFonts w:ascii="Times New Roman" w:hAnsi="Times New Roman" w:eastAsia="FangSong_GB2312"/>
          <w:color w:val="auto"/>
          <w:sz w:val="32"/>
        </w:rPr>
        <w:t>违法实施经营者集中案</w:t>
      </w:r>
      <w:r>
        <w:rPr>
          <w:rFonts w:ascii="Times New Roman" w:hAnsi="Times New Roman" w:eastAsia="FangSong_GB2312"/>
          <w:color w:val="auto"/>
          <w:sz w:val="32"/>
          <w:szCs w:val="32"/>
        </w:rPr>
        <w:t>进行立案调查。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Autospacing="0" w:line="594" w:lineRule="exact"/>
        <w:ind w:left="0" w:right="0" w:firstLine="640" w:firstLineChars="200"/>
        <w:jc w:val="left"/>
        <w:textAlignment w:val="auto"/>
        <w:outlineLvl w:val="9"/>
        <w:rPr>
          <w:color w:val="auto"/>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ascii="Times New Roman" w:hAnsi="Times New Roman" w:eastAsia="FangSong_GB2312"/>
          <w:color w:val="auto"/>
          <w:sz w:val="32"/>
          <w:szCs w:val="32"/>
        </w:rPr>
        <w:t>腾讯</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ascii="Times New Roman" w:hAnsi="Times New Roman" w:eastAsia="FangSong_GB2312"/>
          <w:color w:val="auto"/>
          <w:sz w:val="32"/>
          <w:szCs w:val="32"/>
        </w:rPr>
        <w:t>腾讯</w:t>
      </w:r>
      <w:r>
        <w:rPr>
          <w:rFonts w:hint="default" w:ascii="Times New Roman" w:hAnsi="Times New Roman" w:eastAsia="仿宋_GB2312" w:cs="Times New Roman"/>
          <w:color w:val="auto"/>
          <w:kern w:val="2"/>
          <w:sz w:val="32"/>
          <w:szCs w:val="32"/>
          <w:lang w:val="en-US" w:eastAsia="zh-CN" w:bidi="ar"/>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rPr>
          <w:rFonts w:ascii="Times New Roman" w:hAnsi="Times New Roman" w:eastAsia="KaiTi_GB2312"/>
          <w:b w:val="0"/>
          <w:bCs/>
          <w:color w:val="auto"/>
          <w:sz w:val="32"/>
          <w:szCs w:val="32"/>
        </w:rPr>
      </w:pPr>
      <w:r>
        <w:rPr>
          <w:rFonts w:ascii="Times New Roman" w:hAnsi="Times New Roman" w:eastAsia="KaiTi_GB2312"/>
          <w:b w:val="0"/>
          <w:bCs/>
          <w:color w:val="auto"/>
          <w:sz w:val="32"/>
          <w:szCs w:val="32"/>
        </w:rPr>
        <w:t>（一）交易方。</w:t>
      </w:r>
    </w:p>
    <w:p>
      <w:pPr>
        <w:pStyle w:val="18"/>
        <w:keepNext w:val="0"/>
        <w:keepLines w:val="0"/>
        <w:pageBreakBefore w:val="0"/>
        <w:widowControl w:val="0"/>
        <w:kinsoku/>
        <w:wordWrap/>
        <w:topLinePunct w:val="0"/>
        <w:bidi w:val="0"/>
        <w:spacing w:line="594" w:lineRule="exact"/>
        <w:ind w:firstLine="643"/>
        <w:rPr>
          <w:rFonts w:ascii="Times New Roman" w:hAnsi="Times New Roman"/>
          <w:bCs/>
          <w:color w:val="auto"/>
        </w:rPr>
      </w:pPr>
      <w:r>
        <w:rPr>
          <w:rFonts w:ascii="Times New Roman" w:hAnsi="Times New Roman"/>
          <w:b/>
          <w:color w:val="auto"/>
        </w:rPr>
        <w:t>收购方：腾讯。</w:t>
      </w:r>
      <w:r>
        <w:rPr>
          <w:rFonts w:ascii="Times New Roman" w:hAnsi="Times New Roman"/>
          <w:bCs/>
          <w:color w:val="auto"/>
        </w:rPr>
        <w:t>1999年</w:t>
      </w:r>
      <w:r>
        <w:rPr>
          <w:rFonts w:ascii="Times New Roman" w:hAnsi="Times New Roman"/>
          <w:color w:val="auto"/>
        </w:rPr>
        <w:t>11月</w:t>
      </w:r>
      <w:r>
        <w:rPr>
          <w:rFonts w:ascii="Times New Roman" w:hAnsi="Times New Roman"/>
          <w:bCs/>
          <w:color w:val="auto"/>
        </w:rPr>
        <w:t>于</w:t>
      </w:r>
      <w:r>
        <w:rPr>
          <w:rFonts w:hint="eastAsia" w:ascii="Times New Roman" w:hAnsi="Times New Roman"/>
          <w:bCs/>
          <w:color w:val="auto"/>
        </w:rPr>
        <w:t>英属维尔京群岛</w:t>
      </w:r>
      <w:r>
        <w:rPr>
          <w:rFonts w:ascii="Times New Roman" w:hAnsi="Times New Roman"/>
          <w:bCs/>
          <w:color w:val="auto"/>
        </w:rPr>
        <w:t>注册成立，2004年</w:t>
      </w:r>
      <w:r>
        <w:rPr>
          <w:rFonts w:ascii="Times New Roman" w:hAnsi="Times New Roman"/>
          <w:color w:val="auto"/>
        </w:rPr>
        <w:t>2月</w:t>
      </w:r>
      <w:r>
        <w:rPr>
          <w:rFonts w:hint="eastAsia" w:ascii="Times New Roman" w:hAnsi="Times New Roman"/>
          <w:bCs/>
          <w:color w:val="auto"/>
        </w:rPr>
        <w:t>迁册至英属开曼群岛，</w:t>
      </w:r>
      <w:r>
        <w:rPr>
          <w:rFonts w:ascii="Times New Roman" w:hAnsi="Times New Roman"/>
          <w:color w:val="auto"/>
        </w:rPr>
        <w:t>2004年6月</w:t>
      </w:r>
      <w:r>
        <w:rPr>
          <w:rFonts w:hint="eastAsia" w:ascii="Times New Roman" w:hAnsi="Times New Roman"/>
          <w:bCs/>
          <w:color w:val="auto"/>
        </w:rPr>
        <w:t>在</w:t>
      </w:r>
      <w:r>
        <w:rPr>
          <w:rFonts w:ascii="Times New Roman" w:hAnsi="Times New Roman"/>
          <w:bCs/>
          <w:color w:val="auto"/>
        </w:rPr>
        <w:t>香港联交所上市，</w:t>
      </w:r>
      <w:r>
        <w:rPr>
          <w:rFonts w:ascii="Times New Roman" w:hAnsi="Times New Roman"/>
          <w:color w:val="auto"/>
        </w:rPr>
        <w:t>通过协议控制境内主要运营实体深圳市腾讯计算机系统有限公司</w:t>
      </w:r>
      <w:r>
        <w:rPr>
          <w:rFonts w:ascii="Times New Roman" w:hAnsi="Times New Roman"/>
          <w:bCs/>
          <w:color w:val="auto"/>
        </w:rPr>
        <w:t>。腾讯主要</w:t>
      </w:r>
      <w:r>
        <w:rPr>
          <w:rFonts w:ascii="Times New Roman" w:hAnsi="Times New Roman"/>
          <w:color w:val="auto"/>
        </w:rPr>
        <w:t>主要业务包括社交和通信服务、社交网络平台、游戏、网络视频服务、互动娱乐直播等。</w:t>
      </w:r>
      <w:r>
        <w:rPr>
          <w:rFonts w:ascii="Times New Roman" w:hAnsi="Times New Roman"/>
          <w:bCs/>
          <w:color w:val="auto"/>
        </w:rPr>
        <w:t>2018年</w:t>
      </w:r>
      <w:r>
        <w:rPr>
          <w:rFonts w:hint="eastAsia" w:ascii="Times New Roman" w:hAnsi="Times New Roman"/>
          <w:bCs/>
          <w:color w:val="auto"/>
        </w:rPr>
        <w:t>，</w:t>
      </w:r>
      <w:r>
        <w:rPr>
          <w:rFonts w:ascii="Times New Roman" w:hAnsi="Times New Roman"/>
          <w:color w:val="auto"/>
        </w:rPr>
        <w:t>腾讯</w:t>
      </w:r>
      <w:r>
        <w:rPr>
          <w:rFonts w:ascii="Times New Roman" w:hAnsi="Times New Roman"/>
          <w:bCs/>
          <w:color w:val="auto"/>
        </w:rPr>
        <w:t>全球营业额为</w:t>
      </w:r>
      <w:r>
        <w:rPr>
          <w:rFonts w:hint="eastAsia" w:ascii="Times New Roman" w:hAnsi="Times New Roman"/>
          <w:color w:val="000000"/>
          <w:kern w:val="0"/>
          <w:szCs w:val="21"/>
        </w:rPr>
        <w:t>（略）</w:t>
      </w:r>
      <w:r>
        <w:rPr>
          <w:rFonts w:ascii="Times New Roman" w:hAnsi="Times New Roman"/>
          <w:bCs/>
          <w:color w:val="auto"/>
        </w:rPr>
        <w:t>人民币（币种下同），中国境内营业额为</w:t>
      </w:r>
      <w:r>
        <w:rPr>
          <w:rFonts w:hint="eastAsia" w:ascii="Times New Roman" w:hAnsi="Times New Roman"/>
          <w:color w:val="000000"/>
          <w:kern w:val="0"/>
          <w:szCs w:val="21"/>
        </w:rPr>
        <w:t>（略）</w:t>
      </w:r>
      <w:r>
        <w:rPr>
          <w:rFonts w:ascii="Times New Roman" w:hAnsi="Times New Roman"/>
          <w:bCs/>
          <w:color w:val="auto"/>
        </w:rPr>
        <w:t xml:space="preserve">。 </w:t>
      </w:r>
    </w:p>
    <w:p>
      <w:pPr>
        <w:pStyle w:val="18"/>
        <w:keepNext w:val="0"/>
        <w:keepLines w:val="0"/>
        <w:pageBreakBefore w:val="0"/>
        <w:widowControl w:val="0"/>
        <w:kinsoku/>
        <w:wordWrap/>
        <w:topLinePunct w:val="0"/>
        <w:bidi w:val="0"/>
        <w:spacing w:line="594" w:lineRule="exact"/>
        <w:ind w:firstLine="643"/>
        <w:rPr>
          <w:rFonts w:ascii="Times New Roman" w:hAnsi="Times New Roman"/>
          <w:b/>
          <w:color w:val="auto"/>
        </w:rPr>
      </w:pPr>
      <w:r>
        <w:rPr>
          <w:rFonts w:ascii="Times New Roman" w:hAnsi="Times New Roman"/>
          <w:b/>
          <w:color w:val="auto"/>
        </w:rPr>
        <w:t>被收购方：东方金信。</w:t>
      </w:r>
      <w:r>
        <w:rPr>
          <w:rFonts w:ascii="Times New Roman" w:hAnsi="Times New Roman"/>
          <w:bCs/>
          <w:color w:val="auto"/>
        </w:rPr>
        <w:t>2</w:t>
      </w:r>
      <w:r>
        <w:rPr>
          <w:rFonts w:ascii="Times New Roman" w:hAnsi="Times New Roman"/>
          <w:color w:val="auto"/>
          <w:kern w:val="0"/>
          <w:szCs w:val="21"/>
        </w:rPr>
        <w:t>013年在北京注册成立，交易前由</w:t>
      </w:r>
      <w:r>
        <w:rPr>
          <w:rFonts w:hint="eastAsia" w:ascii="Times New Roman" w:hAnsi="Times New Roman"/>
          <w:color w:val="000000"/>
          <w:kern w:val="0"/>
          <w:szCs w:val="21"/>
        </w:rPr>
        <w:t>（略）</w:t>
      </w:r>
      <w:r>
        <w:rPr>
          <w:rFonts w:ascii="Times New Roman" w:hAnsi="Times New Roman"/>
          <w:color w:val="auto"/>
          <w:kern w:val="0"/>
          <w:szCs w:val="21"/>
        </w:rPr>
        <w:t>最终控制。东方金信主要从事大数据平台和大数据解决方案业务。2018年</w:t>
      </w:r>
      <w:r>
        <w:rPr>
          <w:rFonts w:hint="eastAsia" w:ascii="Times New Roman" w:hAnsi="Times New Roman"/>
          <w:color w:val="auto"/>
          <w:kern w:val="0"/>
          <w:szCs w:val="21"/>
        </w:rPr>
        <w:t>，</w:t>
      </w:r>
      <w:r>
        <w:rPr>
          <w:rFonts w:ascii="Times New Roman" w:hAnsi="Times New Roman"/>
          <w:color w:val="auto"/>
          <w:kern w:val="0"/>
          <w:szCs w:val="21"/>
        </w:rPr>
        <w:t>东方金信全球和中国境内营业额均为</w:t>
      </w:r>
      <w:r>
        <w:rPr>
          <w:rFonts w:hint="eastAsia" w:ascii="Times New Roman" w:hAnsi="Times New Roman"/>
          <w:color w:val="000000"/>
          <w:kern w:val="0"/>
          <w:szCs w:val="21"/>
        </w:rPr>
        <w:t>（略）</w:t>
      </w:r>
      <w:r>
        <w:rPr>
          <w:rFonts w:hint="eastAsia" w:ascii="Times New Roman" w:hAnsi="Times New Roman"/>
          <w:color w:val="auto"/>
          <w:kern w:val="0"/>
          <w:szCs w:val="21"/>
        </w:rPr>
        <w:t>。</w:t>
      </w:r>
    </w:p>
    <w:p>
      <w:pPr>
        <w:keepNext w:val="0"/>
        <w:keepLines w:val="0"/>
        <w:pageBreakBefore w:val="0"/>
        <w:widowControl w:val="0"/>
        <w:numPr>
          <w:ilvl w:val="0"/>
          <w:numId w:val="1"/>
        </w:numPr>
        <w:kinsoku/>
        <w:wordWrap/>
        <w:topLinePunct w:val="0"/>
        <w:bidi w:val="0"/>
        <w:spacing w:line="594" w:lineRule="exact"/>
        <w:textAlignment w:val="baseline"/>
        <w:rPr>
          <w:rFonts w:ascii="Times New Roman" w:hAnsi="Times New Roman" w:eastAsia="FangSong_GB2312"/>
          <w:color w:val="auto"/>
          <w:kern w:val="0"/>
          <w:sz w:val="32"/>
          <w:szCs w:val="21"/>
        </w:rPr>
      </w:pPr>
      <w:r>
        <w:rPr>
          <w:rFonts w:ascii="Times New Roman" w:hAnsi="Times New Roman" w:eastAsia="FangSong_GB2312"/>
          <w:b/>
          <w:bCs/>
          <w:color w:val="auto"/>
          <w:kern w:val="0"/>
          <w:sz w:val="32"/>
          <w:szCs w:val="21"/>
        </w:rPr>
        <w:t xml:space="preserve"> 被收购方原股东一：深圳市赢时胜信息技术股份有限公司（以下简称赢时胜）。</w:t>
      </w:r>
      <w:r>
        <w:rPr>
          <w:rFonts w:ascii="Times New Roman" w:hAnsi="Times New Roman" w:eastAsia="FangSong_GB2312"/>
          <w:color w:val="auto"/>
          <w:kern w:val="0"/>
          <w:sz w:val="32"/>
          <w:szCs w:val="21"/>
        </w:rPr>
        <w:t>2001年在广东省深圳市注册成立。由</w:t>
      </w:r>
      <w:r>
        <w:rPr>
          <w:rFonts w:hint="eastAsia" w:ascii="Times New Roman" w:hAnsi="Times New Roman" w:eastAsia="FangSong_GB2312" w:cs="Times New Roman"/>
          <w:color w:val="000000"/>
          <w:kern w:val="0"/>
          <w:sz w:val="32"/>
          <w:szCs w:val="21"/>
          <w:lang w:val="en-US" w:eastAsia="zh-CN" w:bidi="ar-SA"/>
        </w:rPr>
        <w:t>（略）</w:t>
      </w:r>
      <w:r>
        <w:rPr>
          <w:rFonts w:ascii="Times New Roman" w:hAnsi="Times New Roman" w:eastAsia="FangSong_GB2312"/>
          <w:color w:val="auto"/>
          <w:kern w:val="0"/>
          <w:sz w:val="32"/>
          <w:szCs w:val="21"/>
        </w:rPr>
        <w:t>最终控制。交易前持有东方金信</w:t>
      </w:r>
      <w:r>
        <w:rPr>
          <w:rFonts w:hint="eastAsia" w:ascii="Times New Roman" w:hAnsi="Times New Roman" w:eastAsia="FangSong_GB2312" w:cs="Times New Roman"/>
          <w:color w:val="000000"/>
          <w:kern w:val="0"/>
          <w:sz w:val="32"/>
          <w:szCs w:val="21"/>
          <w:lang w:val="en-US" w:eastAsia="zh-CN" w:bidi="ar-SA"/>
        </w:rPr>
        <w:t>（略）</w:t>
      </w:r>
      <w:r>
        <w:rPr>
          <w:rFonts w:ascii="Times New Roman" w:hAnsi="Times New Roman" w:eastAsia="FangSong_GB2312"/>
          <w:color w:val="auto"/>
          <w:kern w:val="0"/>
          <w:sz w:val="32"/>
          <w:szCs w:val="21"/>
        </w:rPr>
        <w:t>股权。赢时胜主要从事金融信息技术解决方案业务。2018年</w:t>
      </w:r>
      <w:r>
        <w:rPr>
          <w:rFonts w:hint="eastAsia" w:ascii="Times New Roman" w:hAnsi="Times New Roman" w:eastAsia="FangSong_GB2312"/>
          <w:color w:val="auto"/>
          <w:kern w:val="0"/>
          <w:sz w:val="32"/>
          <w:szCs w:val="21"/>
        </w:rPr>
        <w:t>，</w:t>
      </w:r>
      <w:r>
        <w:rPr>
          <w:rFonts w:ascii="Times New Roman" w:hAnsi="Times New Roman" w:eastAsia="FangSong_GB2312"/>
          <w:color w:val="auto"/>
          <w:kern w:val="0"/>
          <w:sz w:val="32"/>
          <w:szCs w:val="21"/>
        </w:rPr>
        <w:t>赢时胜全球和中国境内营业额均为</w:t>
      </w:r>
      <w:r>
        <w:rPr>
          <w:rFonts w:hint="eastAsia" w:ascii="Times New Roman" w:hAnsi="Times New Roman" w:eastAsia="FangSong_GB2312" w:cs="Times New Roman"/>
          <w:color w:val="000000"/>
          <w:kern w:val="0"/>
          <w:sz w:val="32"/>
          <w:szCs w:val="21"/>
          <w:lang w:val="en-US" w:eastAsia="zh-CN" w:bidi="ar-SA"/>
        </w:rPr>
        <w:t>（略）</w:t>
      </w:r>
      <w:r>
        <w:rPr>
          <w:rFonts w:hint="eastAsia" w:ascii="Times New Roman" w:hAnsi="Times New Roman" w:eastAsia="FangSong_GB2312"/>
          <w:color w:val="auto"/>
          <w:kern w:val="0"/>
          <w:sz w:val="32"/>
          <w:szCs w:val="21"/>
        </w:rPr>
        <w:t>。</w:t>
      </w:r>
    </w:p>
    <w:p>
      <w:pPr>
        <w:keepNext w:val="0"/>
        <w:keepLines w:val="0"/>
        <w:pageBreakBefore w:val="0"/>
        <w:widowControl w:val="0"/>
        <w:numPr>
          <w:ilvl w:val="0"/>
          <w:numId w:val="1"/>
        </w:numPr>
        <w:kinsoku/>
        <w:wordWrap/>
        <w:topLinePunct w:val="0"/>
        <w:bidi w:val="0"/>
        <w:spacing w:line="594" w:lineRule="exact"/>
        <w:textAlignment w:val="baseline"/>
        <w:rPr>
          <w:rFonts w:ascii="Times New Roman" w:hAnsi="Times New Roman"/>
          <w:b/>
          <w:color w:val="auto"/>
        </w:rPr>
      </w:pPr>
      <w:r>
        <w:rPr>
          <w:rFonts w:ascii="Times New Roman" w:hAnsi="Times New Roman" w:eastAsia="FangSong_GB2312"/>
          <w:b/>
          <w:color w:val="auto"/>
          <w:sz w:val="32"/>
          <w:szCs w:val="32"/>
        </w:rPr>
        <w:t xml:space="preserve"> 被收购方原股东二：</w:t>
      </w:r>
      <w:r>
        <w:rPr>
          <w:rFonts w:ascii="Times New Roman" w:hAnsi="Times New Roman" w:eastAsia="FangSong_GB2312"/>
          <w:b/>
          <w:color w:val="auto"/>
          <w:kern w:val="0"/>
          <w:sz w:val="32"/>
          <w:szCs w:val="21"/>
        </w:rPr>
        <w:t>王伟哲、杜伟杰以及石棋玲（以下合称管理层团队）。</w:t>
      </w:r>
      <w:r>
        <w:rPr>
          <w:rFonts w:ascii="Times New Roman" w:hAnsi="Times New Roman" w:eastAsia="FangSong_GB2312"/>
          <w:color w:val="auto"/>
          <w:kern w:val="0"/>
          <w:sz w:val="32"/>
          <w:szCs w:val="21"/>
        </w:rPr>
        <w:t>交易前持有东方金信</w:t>
      </w:r>
      <w:r>
        <w:rPr>
          <w:rFonts w:hint="eastAsia" w:ascii="Times New Roman" w:hAnsi="Times New Roman" w:eastAsia="FangSong_GB2312" w:cs="Times New Roman"/>
          <w:color w:val="000000"/>
          <w:kern w:val="0"/>
          <w:sz w:val="32"/>
          <w:szCs w:val="21"/>
          <w:lang w:val="en-US" w:eastAsia="zh-CN" w:bidi="ar-SA"/>
        </w:rPr>
        <w:t>（略）</w:t>
      </w:r>
      <w:r>
        <w:rPr>
          <w:rFonts w:ascii="Times New Roman" w:hAnsi="Times New Roman" w:eastAsia="FangSong_GB2312"/>
          <w:color w:val="auto"/>
          <w:kern w:val="0"/>
          <w:sz w:val="32"/>
          <w:szCs w:val="21"/>
        </w:rPr>
        <w:t>股权。除持有东方金信外不从事其他业务。2018年营业额同东方金信。</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rPr>
          <w:rFonts w:ascii="Times New Roman" w:hAnsi="Times New Roman" w:eastAsia="KaiTi_GB2312"/>
          <w:b w:val="0"/>
          <w:bCs/>
          <w:color w:val="auto"/>
          <w:sz w:val="32"/>
          <w:szCs w:val="32"/>
        </w:rPr>
      </w:pPr>
      <w:r>
        <w:rPr>
          <w:rFonts w:ascii="Times New Roman" w:hAnsi="Times New Roman" w:eastAsia="KaiTi_GB2312"/>
          <w:b w:val="0"/>
          <w:bCs/>
          <w:color w:val="auto"/>
          <w:sz w:val="32"/>
          <w:szCs w:val="32"/>
        </w:rPr>
        <w:t>（二）交易概况。</w:t>
      </w:r>
    </w:p>
    <w:p>
      <w:pPr>
        <w:pStyle w:val="18"/>
        <w:keepNext w:val="0"/>
        <w:keepLines w:val="0"/>
        <w:pageBreakBefore w:val="0"/>
        <w:widowControl w:val="0"/>
        <w:kinsoku/>
        <w:wordWrap/>
        <w:topLinePunct w:val="0"/>
        <w:bidi w:val="0"/>
        <w:spacing w:line="594" w:lineRule="exact"/>
        <w:ind w:firstLine="640"/>
        <w:rPr>
          <w:rFonts w:ascii="Times New Roman" w:hAnsi="Times New Roman"/>
          <w:color w:val="auto"/>
        </w:rPr>
      </w:pPr>
      <w:r>
        <w:rPr>
          <w:rFonts w:hint="eastAsia" w:ascii="Times New Roman" w:hAnsi="Times New Roman"/>
          <w:bCs/>
          <w:color w:val="auto"/>
          <w:lang w:val="en-US" w:eastAsia="zh-CN"/>
        </w:rPr>
        <w:t>该</w:t>
      </w:r>
      <w:r>
        <w:rPr>
          <w:rFonts w:ascii="Times New Roman" w:hAnsi="Times New Roman"/>
          <w:bCs/>
          <w:color w:val="auto"/>
        </w:rPr>
        <w:t>交易系</w:t>
      </w:r>
      <w:r>
        <w:rPr>
          <w:rFonts w:hint="eastAsia" w:ascii="Times New Roman" w:hAnsi="Times New Roman"/>
          <w:bCs/>
          <w:color w:val="auto"/>
        </w:rPr>
        <w:t>股权收购</w:t>
      </w:r>
      <w:r>
        <w:rPr>
          <w:rFonts w:ascii="Times New Roman" w:hAnsi="Times New Roman"/>
          <w:bCs/>
          <w:color w:val="auto"/>
        </w:rPr>
        <w:t>。2019年4月，腾讯与东方金信签署增资协议，约定腾讯通过增资获得东方金信21.21%股权</w:t>
      </w:r>
      <w:r>
        <w:rPr>
          <w:rFonts w:hint="eastAsia" w:ascii="Times New Roman" w:hAnsi="Times New Roman"/>
          <w:bCs/>
          <w:color w:val="auto"/>
          <w:lang w:eastAsia="zh-CN"/>
        </w:rPr>
        <w:t>，并取得共同控制权</w:t>
      </w:r>
      <w:r>
        <w:rPr>
          <w:rFonts w:hint="eastAsia" w:ascii="Times New Roman" w:hAnsi="Times New Roman"/>
          <w:color w:val="auto"/>
        </w:rPr>
        <w:t>。</w:t>
      </w:r>
      <w:r>
        <w:rPr>
          <w:rFonts w:ascii="Times New Roman" w:hAnsi="Times New Roman"/>
          <w:bCs/>
          <w:color w:val="auto"/>
        </w:rPr>
        <w:t>2019年4月18日</w:t>
      </w:r>
      <w:r>
        <w:rPr>
          <w:rFonts w:hint="eastAsia" w:ascii="Times New Roman" w:hAnsi="Times New Roman"/>
          <w:color w:val="auto"/>
        </w:rPr>
        <w:t>，</w:t>
      </w:r>
      <w:r>
        <w:rPr>
          <w:rFonts w:ascii="Times New Roman" w:hAnsi="Times New Roman"/>
          <w:bCs/>
          <w:color w:val="auto"/>
        </w:rPr>
        <w:t>东方金信</w:t>
      </w:r>
      <w:r>
        <w:rPr>
          <w:rFonts w:hint="eastAsia" w:ascii="Times New Roman" w:hAnsi="Times New Roman"/>
          <w:color w:val="auto"/>
        </w:rPr>
        <w:t>完成股权变更登记</w:t>
      </w:r>
      <w:r>
        <w:rPr>
          <w:rFonts w:hint="eastAsia" w:ascii="Times New Roman" w:hAnsi="Times New Roman"/>
          <w:color w:val="auto"/>
          <w:lang w:eastAsia="zh-CN"/>
        </w:rPr>
        <w:t>手续</w:t>
      </w:r>
      <w:r>
        <w:rPr>
          <w:rFonts w:hint="eastAsia" w:ascii="Times New Roman" w:hAnsi="Times New Roman"/>
          <w:color w:val="auto"/>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二、违法事实及理由</w:t>
      </w:r>
    </w:p>
    <w:p>
      <w:pPr>
        <w:keepNext w:val="0"/>
        <w:keepLines w:val="0"/>
        <w:pageBreakBefore w:val="0"/>
        <w:widowControl w:val="0"/>
        <w:kinsoku/>
        <w:wordWrap/>
        <w:topLinePunct w:val="0"/>
        <w:bidi w:val="0"/>
        <w:adjustRightInd w:val="0"/>
        <w:snapToGrid w:val="0"/>
        <w:spacing w:line="594" w:lineRule="exact"/>
        <w:ind w:firstLine="640" w:firstLineChars="200"/>
        <w:outlineLvl w:val="0"/>
        <w:rPr>
          <w:rFonts w:ascii="Times New Roman" w:hAnsi="Times New Roman" w:eastAsia="KaiTi_GB2312"/>
          <w:b w:val="0"/>
          <w:bCs w:val="0"/>
          <w:color w:val="auto"/>
          <w:sz w:val="32"/>
          <w:szCs w:val="32"/>
        </w:rPr>
      </w:pPr>
      <w:r>
        <w:rPr>
          <w:rFonts w:ascii="Times New Roman" w:hAnsi="Times New Roman" w:eastAsia="KaiTi_GB2312"/>
          <w:b w:val="0"/>
          <w:bCs w:val="0"/>
          <w:color w:val="auto"/>
          <w:sz w:val="32"/>
          <w:szCs w:val="32"/>
        </w:rPr>
        <w:t>（一）本案构成</w:t>
      </w:r>
      <w:r>
        <w:rPr>
          <w:rFonts w:hint="eastAsia" w:ascii="Times New Roman" w:hAnsi="Times New Roman" w:eastAsia="KaiTi_GB2312"/>
          <w:b w:val="0"/>
          <w:bCs w:val="0"/>
          <w:color w:val="auto"/>
          <w:sz w:val="32"/>
          <w:szCs w:val="32"/>
        </w:rPr>
        <w:t>未依法申报</w:t>
      </w:r>
      <w:r>
        <w:rPr>
          <w:rFonts w:ascii="Times New Roman" w:hAnsi="Times New Roman" w:eastAsia="KaiTi_GB2312"/>
          <w:b w:val="0"/>
          <w:bCs w:val="0"/>
          <w:color w:val="auto"/>
          <w:sz w:val="32"/>
          <w:szCs w:val="32"/>
        </w:rPr>
        <w:t>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rPr>
          <w:rFonts w:ascii="Times New Roman" w:hAnsi="Times New Roman" w:eastAsia="FangSong_GB2312"/>
          <w:bCs/>
          <w:color w:val="auto"/>
          <w:sz w:val="32"/>
          <w:szCs w:val="36"/>
        </w:rPr>
      </w:pPr>
      <w:r>
        <w:rPr>
          <w:rFonts w:ascii="Times New Roman" w:hAnsi="Times New Roman" w:eastAsia="FangSong_GB2312"/>
          <w:bCs/>
          <w:color w:val="auto"/>
          <w:sz w:val="32"/>
          <w:szCs w:val="32"/>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Cs/>
          <w:color w:val="auto"/>
          <w:sz w:val="32"/>
          <w:szCs w:val="32"/>
          <w:lang w:val="en-US" w:eastAsia="zh-CN"/>
        </w:rPr>
        <w:t>该交易系</w:t>
      </w:r>
      <w:r>
        <w:rPr>
          <w:rFonts w:hint="eastAsia" w:ascii="Times New Roman" w:hAnsi="Times New Roman" w:eastAsia="仿宋_GB2312" w:cs="Times New Roman"/>
          <w:bCs/>
          <w:color w:val="auto"/>
          <w:sz w:val="32"/>
          <w:szCs w:val="32"/>
          <w:lang w:val="en-US" w:eastAsia="zh-CN"/>
        </w:rPr>
        <w:t>股权收购</w:t>
      </w:r>
      <w:r>
        <w:rPr>
          <w:rFonts w:hint="default" w:ascii="Times New Roman" w:hAnsi="Times New Roman" w:eastAsia="仿宋_GB2312" w:cs="Times New Roman"/>
          <w:bCs/>
          <w:color w:val="auto"/>
          <w:sz w:val="32"/>
          <w:szCs w:val="32"/>
          <w:lang w:val="en-US" w:eastAsia="zh-CN"/>
        </w:rPr>
        <w:t>，</w:t>
      </w:r>
      <w:r>
        <w:rPr>
          <w:rFonts w:ascii="Times New Roman" w:hAnsi="Times New Roman" w:eastAsia="FangSong_GB2312"/>
          <w:bCs/>
          <w:color w:val="auto"/>
          <w:sz w:val="32"/>
        </w:rPr>
        <w:t>腾讯收购东方金信21.21%股权，</w:t>
      </w:r>
      <w:r>
        <w:rPr>
          <w:rFonts w:ascii="Times New Roman" w:hAnsi="Times New Roman" w:eastAsia="FangSong_GB2312"/>
          <w:color w:val="auto"/>
          <w:sz w:val="32"/>
        </w:rPr>
        <w:t>取得</w:t>
      </w:r>
      <w:r>
        <w:rPr>
          <w:rFonts w:hint="eastAsia" w:ascii="Times New Roman" w:hAnsi="Times New Roman" w:eastAsia="FangSong_GB2312"/>
          <w:bCs/>
          <w:color w:val="auto"/>
          <w:sz w:val="32"/>
        </w:rPr>
        <w:t>共同</w:t>
      </w:r>
      <w:r>
        <w:rPr>
          <w:rFonts w:ascii="Times New Roman" w:hAnsi="Times New Roman" w:eastAsia="FangSong_GB2312"/>
          <w:color w:val="auto"/>
          <w:sz w:val="32"/>
        </w:rPr>
        <w:t>控制权</w:t>
      </w:r>
      <w:r>
        <w:rPr>
          <w:rFonts w:ascii="Times New Roman" w:hAnsi="Times New Roman" w:eastAsia="FangSong_GB2312"/>
          <w:color w:val="auto"/>
          <w:sz w:val="32"/>
          <w:szCs w:val="32"/>
        </w:rPr>
        <w:t>，属于《反垄断法》第二十条规定的经营者集中。</w:t>
      </w:r>
    </w:p>
    <w:p>
      <w:pPr>
        <w:pStyle w:val="18"/>
        <w:keepNext w:val="0"/>
        <w:keepLines w:val="0"/>
        <w:pageBreakBefore w:val="0"/>
        <w:widowControl w:val="0"/>
        <w:kinsoku/>
        <w:wordWrap/>
        <w:topLinePunct w:val="0"/>
        <w:bidi w:val="0"/>
        <w:spacing w:line="594" w:lineRule="exact"/>
        <w:ind w:firstLine="640"/>
        <w:rPr>
          <w:rFonts w:ascii="Times New Roman" w:hAnsi="Times New Roman"/>
          <w:color w:val="auto"/>
        </w:rPr>
      </w:pPr>
      <w:r>
        <w:rPr>
          <w:rFonts w:ascii="Times New Roman" w:hAnsi="Times New Roman"/>
          <w:bCs/>
          <w:color w:val="auto"/>
        </w:rPr>
        <w:t>2018年</w:t>
      </w:r>
      <w:r>
        <w:rPr>
          <w:rFonts w:hint="eastAsia" w:ascii="Times New Roman" w:hAnsi="Times New Roman"/>
          <w:bCs/>
          <w:color w:val="auto"/>
          <w:lang w:eastAsia="zh-CN"/>
        </w:rPr>
        <w:t>度</w:t>
      </w:r>
      <w:r>
        <w:rPr>
          <w:rFonts w:ascii="Times New Roman" w:hAnsi="Times New Roman"/>
          <w:bCs/>
          <w:color w:val="auto"/>
        </w:rPr>
        <w:t>腾讯全球营业额为</w:t>
      </w:r>
      <w:r>
        <w:rPr>
          <w:rFonts w:hint="eastAsia" w:ascii="Times New Roman" w:hAnsi="Times New Roman" w:eastAsia="FangSong_GB2312" w:cs="Times New Roman"/>
          <w:color w:val="000000"/>
          <w:kern w:val="0"/>
          <w:sz w:val="32"/>
          <w:szCs w:val="21"/>
          <w:lang w:val="en-US" w:eastAsia="zh-CN" w:bidi="ar-SA"/>
        </w:rPr>
        <w:t>（略）</w:t>
      </w:r>
      <w:r>
        <w:rPr>
          <w:rFonts w:ascii="Times New Roman" w:hAnsi="Times New Roman"/>
          <w:bCs/>
          <w:color w:val="auto"/>
        </w:rPr>
        <w:t>，中国境内营业额为</w:t>
      </w:r>
      <w:r>
        <w:rPr>
          <w:rFonts w:hint="eastAsia" w:ascii="Times New Roman" w:hAnsi="Times New Roman" w:eastAsia="FangSong_GB2312" w:cs="Times New Roman"/>
          <w:color w:val="000000"/>
          <w:kern w:val="0"/>
          <w:sz w:val="32"/>
          <w:szCs w:val="21"/>
          <w:lang w:val="en-US" w:eastAsia="zh-CN" w:bidi="ar-SA"/>
        </w:rPr>
        <w:t>（略）</w:t>
      </w:r>
      <w:r>
        <w:rPr>
          <w:rFonts w:ascii="Times New Roman" w:hAnsi="Times New Roman"/>
          <w:bCs/>
          <w:color w:val="auto"/>
        </w:rPr>
        <w:t>；2018年</w:t>
      </w:r>
      <w:r>
        <w:rPr>
          <w:rFonts w:hint="eastAsia" w:ascii="Times New Roman" w:hAnsi="Times New Roman"/>
          <w:bCs/>
          <w:color w:val="auto"/>
          <w:lang w:eastAsia="zh-CN"/>
        </w:rPr>
        <w:t>度</w:t>
      </w:r>
      <w:r>
        <w:rPr>
          <w:rFonts w:ascii="Times New Roman" w:hAnsi="Times New Roman"/>
          <w:bCs/>
          <w:color w:val="auto"/>
        </w:rPr>
        <w:t>东方金信原股东</w:t>
      </w:r>
      <w:r>
        <w:rPr>
          <w:rFonts w:ascii="Times New Roman" w:hAnsi="Times New Roman"/>
          <w:color w:val="auto"/>
          <w:kern w:val="0"/>
          <w:szCs w:val="21"/>
        </w:rPr>
        <w:t>赢时胜</w:t>
      </w:r>
      <w:r>
        <w:rPr>
          <w:rFonts w:ascii="Times New Roman" w:hAnsi="Times New Roman"/>
          <w:bCs/>
          <w:color w:val="auto"/>
        </w:rPr>
        <w:t>全球和中国境内营业额</w:t>
      </w:r>
      <w:r>
        <w:rPr>
          <w:rFonts w:ascii="Times New Roman" w:hAnsi="Times New Roman"/>
          <w:color w:val="auto"/>
        </w:rPr>
        <w:t>均为</w:t>
      </w:r>
      <w:r>
        <w:rPr>
          <w:rFonts w:hint="eastAsia" w:ascii="Times New Roman" w:hAnsi="Times New Roman" w:eastAsia="FangSong_GB2312" w:cs="Times New Roman"/>
          <w:color w:val="000000"/>
          <w:kern w:val="0"/>
          <w:sz w:val="32"/>
          <w:szCs w:val="21"/>
          <w:lang w:val="en-US" w:eastAsia="zh-CN" w:bidi="ar-SA"/>
        </w:rPr>
        <w:t>（略）</w:t>
      </w:r>
      <w:r>
        <w:rPr>
          <w:rFonts w:ascii="Times New Roman" w:hAnsi="Times New Roman"/>
          <w:color w:val="auto"/>
        </w:rPr>
        <w:t>，达到《国务院关于经营者集中申报标准的规定》第三条规定的申报标准，属于应当申报的情形。</w:t>
      </w:r>
    </w:p>
    <w:p>
      <w:pPr>
        <w:pStyle w:val="8"/>
        <w:keepNext w:val="0"/>
        <w:keepLines w:val="0"/>
        <w:pageBreakBefore w:val="0"/>
        <w:widowControl w:val="0"/>
        <w:suppressAutoHyphens/>
        <w:kinsoku/>
        <w:wordWrap/>
        <w:overflowPunct w:val="0"/>
        <w:topLinePunct w:val="0"/>
        <w:autoSpaceDE w:val="0"/>
        <w:autoSpaceDN w:val="0"/>
        <w:bidi w:val="0"/>
        <w:adjustRightInd w:val="0"/>
        <w:spacing w:before="0" w:beforeAutospacing="0" w:after="0" w:afterAutospacing="0" w:line="594" w:lineRule="exact"/>
        <w:ind w:firstLine="640" w:firstLineChars="200"/>
        <w:jc w:val="both"/>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《反垄断法》第二十一条规定“经营者集中达到国</w:t>
      </w:r>
      <w:r>
        <w:rPr>
          <w:rFonts w:ascii="Times New Roman" w:hAnsi="Times New Roman" w:eastAsia="FangSong_GB2312" w:cs="Times New Roman"/>
          <w:bCs/>
          <w:color w:val="auto"/>
          <w:kern w:val="2"/>
          <w:sz w:val="32"/>
          <w:szCs w:val="32"/>
        </w:rPr>
        <w:t>务院规定的申报标准的，经营者应当事先向国务院反垄断执法机构申报，未申报的不得实施集中”。</w:t>
      </w:r>
      <w:r>
        <w:rPr>
          <w:rFonts w:ascii="Times New Roman" w:hAnsi="Times New Roman" w:eastAsia="FangSong_GB2312" w:cs="Times New Roman"/>
          <w:bCs/>
          <w:color w:val="auto"/>
          <w:sz w:val="32"/>
        </w:rPr>
        <w:t>20</w:t>
      </w:r>
      <w:r>
        <w:rPr>
          <w:rFonts w:ascii="Times New Roman" w:hAnsi="Times New Roman" w:cs="Times New Roman"/>
          <w:bCs/>
          <w:color w:val="auto"/>
          <w:sz w:val="32"/>
        </w:rPr>
        <w:t>19</w:t>
      </w:r>
      <w:r>
        <w:rPr>
          <w:rFonts w:ascii="Times New Roman" w:hAnsi="Times New Roman" w:eastAsia="FangSong_GB2312" w:cs="Times New Roman"/>
          <w:bCs/>
          <w:color w:val="auto"/>
          <w:sz w:val="32"/>
        </w:rPr>
        <w:t>年</w:t>
      </w:r>
      <w:r>
        <w:rPr>
          <w:rFonts w:ascii="Times New Roman" w:hAnsi="Times New Roman" w:cs="Times New Roman"/>
          <w:bCs/>
          <w:color w:val="auto"/>
          <w:sz w:val="32"/>
        </w:rPr>
        <w:t>4</w:t>
      </w:r>
      <w:r>
        <w:rPr>
          <w:rFonts w:ascii="Times New Roman" w:hAnsi="Times New Roman" w:eastAsia="FangSong_GB2312" w:cs="Times New Roman"/>
          <w:bCs/>
          <w:color w:val="auto"/>
          <w:sz w:val="32"/>
        </w:rPr>
        <w:t>月</w:t>
      </w:r>
      <w:r>
        <w:rPr>
          <w:rFonts w:ascii="Times New Roman" w:hAnsi="Times New Roman" w:cs="Times New Roman"/>
          <w:bCs/>
          <w:color w:val="auto"/>
          <w:sz w:val="32"/>
        </w:rPr>
        <w:t>18</w:t>
      </w:r>
      <w:r>
        <w:rPr>
          <w:rFonts w:ascii="Times New Roman" w:hAnsi="Times New Roman" w:eastAsia="FangSong_GB2312" w:cs="Times New Roman"/>
          <w:bCs/>
          <w:color w:val="auto"/>
          <w:sz w:val="32"/>
        </w:rPr>
        <w:t>日</w:t>
      </w:r>
      <w:r>
        <w:rPr>
          <w:rFonts w:ascii="Times New Roman" w:hAnsi="Times New Roman" w:cs="Times New Roman"/>
          <w:bCs/>
          <w:color w:val="auto"/>
          <w:sz w:val="32"/>
        </w:rPr>
        <w:t>，</w:t>
      </w:r>
      <w:r>
        <w:rPr>
          <w:rFonts w:hint="eastAsia" w:ascii="仿宋_GB2312" w:hAnsi="仿宋_GB2312" w:eastAsia="仿宋_GB2312" w:cs="仿宋_GB2312"/>
          <w:bCs/>
          <w:color w:val="auto"/>
          <w:sz w:val="32"/>
        </w:rPr>
        <w:t>东方金信完成股权变更登记</w:t>
      </w:r>
      <w:r>
        <w:rPr>
          <w:rFonts w:hint="eastAsia" w:ascii="仿宋_GB2312" w:hAnsi="仿宋_GB2312" w:eastAsia="仿宋_GB2312" w:cs="仿宋_GB2312"/>
          <w:bCs/>
          <w:color w:val="auto"/>
          <w:sz w:val="32"/>
          <w:lang w:eastAsia="zh-CN"/>
        </w:rPr>
        <w:t>手续</w:t>
      </w:r>
      <w:r>
        <w:rPr>
          <w:rFonts w:hint="eastAsia" w:ascii="仿宋_GB2312" w:hAnsi="仿宋_GB2312" w:eastAsia="仿宋_GB2312" w:cs="仿宋_GB2312"/>
          <w:bCs/>
          <w:color w:val="auto"/>
          <w:sz w:val="32"/>
        </w:rPr>
        <w:t>，</w:t>
      </w:r>
      <w:r>
        <w:rPr>
          <w:rFonts w:ascii="Times New Roman" w:hAnsi="Times New Roman" w:eastAsia="FangSong_GB2312" w:cs="Times New Roman"/>
          <w:bCs/>
          <w:color w:val="auto"/>
          <w:kern w:val="2"/>
          <w:sz w:val="32"/>
          <w:szCs w:val="32"/>
        </w:rPr>
        <w:t>在此之前未</w:t>
      </w:r>
      <w:r>
        <w:rPr>
          <w:rFonts w:hint="eastAsia" w:ascii="Times New Roman" w:hAnsi="Times New Roman" w:eastAsia="FangSong_GB2312" w:cs="Times New Roman"/>
          <w:bCs/>
          <w:color w:val="auto"/>
          <w:kern w:val="2"/>
          <w:sz w:val="32"/>
          <w:szCs w:val="32"/>
        </w:rPr>
        <w:t>依法</w:t>
      </w:r>
      <w:r>
        <w:rPr>
          <w:rFonts w:ascii="Times New Roman" w:hAnsi="Times New Roman" w:eastAsia="FangSong_GB2312" w:cs="Times New Roman"/>
          <w:bCs/>
          <w:color w:val="auto"/>
          <w:kern w:val="2"/>
          <w:sz w:val="32"/>
          <w:szCs w:val="32"/>
        </w:rPr>
        <w:t>申报，违反《反垄断法》第二十一条，构成</w:t>
      </w:r>
      <w:r>
        <w:rPr>
          <w:rFonts w:hint="eastAsia" w:ascii="Times New Roman" w:hAnsi="Times New Roman" w:eastAsia="FangSong_GB2312" w:cs="Times New Roman"/>
          <w:bCs/>
          <w:color w:val="auto"/>
          <w:kern w:val="2"/>
          <w:sz w:val="32"/>
          <w:szCs w:val="32"/>
        </w:rPr>
        <w:t>未依法申报</w:t>
      </w:r>
      <w:r>
        <w:rPr>
          <w:rFonts w:ascii="Times New Roman" w:hAnsi="Times New Roman" w:eastAsia="FangSong_GB2312" w:cs="Times New Roman"/>
          <w:bCs/>
          <w:color w:val="auto"/>
          <w:kern w:val="2"/>
          <w:sz w:val="32"/>
          <w:szCs w:val="32"/>
        </w:rPr>
        <w:t>违法实施</w:t>
      </w:r>
      <w:r>
        <w:rPr>
          <w:rFonts w:ascii="Times New Roman" w:hAnsi="Times New Roman" w:eastAsia="FangSong_GB2312" w:cs="Times New Roman"/>
          <w:color w:val="auto"/>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rPr>
          <w:rFonts w:ascii="Times New Roman" w:hAnsi="Times New Roman" w:eastAsia="KaiTi_GB2312"/>
          <w:b w:val="0"/>
          <w:bCs w:val="0"/>
          <w:color w:val="auto"/>
          <w:sz w:val="32"/>
          <w:szCs w:val="32"/>
        </w:rPr>
      </w:pPr>
      <w:r>
        <w:rPr>
          <w:rFonts w:ascii="Times New Roman" w:hAnsi="Times New Roman" w:eastAsia="KaiTi_GB2312"/>
          <w:b w:val="0"/>
          <w:bCs w:val="0"/>
          <w:color w:val="auto"/>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outlineLvl w:val="0"/>
        <w:rPr>
          <w:rFonts w:ascii="Times New Roman" w:hAnsi="Times New Roman" w:eastAsia="FangSong_GB2312"/>
          <w:color w:val="auto"/>
          <w:sz w:val="32"/>
          <w:szCs w:val="32"/>
        </w:rPr>
      </w:pPr>
      <w:r>
        <w:rPr>
          <w:rFonts w:ascii="Times New Roman" w:hAnsi="Times New Roman" w:eastAsia="FangSong_GB2312"/>
          <w:color w:val="auto"/>
          <w:sz w:val="32"/>
          <w:szCs w:val="32"/>
        </w:rPr>
        <w:t>本机关就</w:t>
      </w:r>
      <w:r>
        <w:rPr>
          <w:rFonts w:hint="eastAsia" w:ascii="Times New Roman" w:hAnsi="Times New Roman" w:eastAsia="FangSong_GB2312"/>
          <w:color w:val="auto"/>
          <w:sz w:val="32"/>
          <w:szCs w:val="32"/>
        </w:rPr>
        <w:t>腾讯收购东方金信股权</w:t>
      </w:r>
      <w:r>
        <w:rPr>
          <w:rFonts w:ascii="Times New Roman" w:hAnsi="Times New Roman" w:eastAsia="FangSong_GB2312"/>
          <w:color w:val="auto"/>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w:t>
      </w:r>
      <w:r>
        <w:rPr>
          <w:rFonts w:hint="default" w:ascii="Times New Roman" w:hAnsi="Times New Roman" w:eastAsia="黑体" w:cs="Times New Roman"/>
          <w:color w:val="auto"/>
          <w:kern w:val="2"/>
          <w:sz w:val="32"/>
          <w:szCs w:val="32"/>
        </w:rPr>
        <w:t>行政处罚依据和决定</w:t>
      </w:r>
    </w:p>
    <w:p>
      <w:pPr>
        <w:keepNext w:val="0"/>
        <w:keepLines w:val="0"/>
        <w:pageBreakBefore w:val="0"/>
        <w:widowControl w:val="0"/>
        <w:kinsoku/>
        <w:wordWrap/>
        <w:topLinePunct w:val="0"/>
        <w:bidi w:val="0"/>
        <w:spacing w:line="594" w:lineRule="exact"/>
        <w:ind w:firstLine="627" w:firstLineChars="196"/>
        <w:rPr>
          <w:rFonts w:ascii="Times New Roman" w:hAnsi="Times New Roman" w:eastAsia="FangSong_GB2312"/>
          <w:bCs/>
          <w:color w:val="auto"/>
          <w:sz w:val="32"/>
          <w:szCs w:val="32"/>
        </w:rPr>
      </w:pPr>
      <w:r>
        <w:rPr>
          <w:rFonts w:ascii="Times New Roman" w:hAnsi="Times New Roman" w:eastAsia="FangSong_GB2312"/>
          <w:bCs/>
          <w:color w:val="auto"/>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27" w:firstLineChars="196"/>
        <w:rPr>
          <w:rFonts w:ascii="Times New Roman" w:hAnsi="Times New Roman" w:eastAsia="FangSong_GB2312"/>
          <w:bCs/>
          <w:color w:val="auto"/>
          <w:sz w:val="32"/>
          <w:szCs w:val="32"/>
        </w:rPr>
      </w:pPr>
      <w:r>
        <w:rPr>
          <w:rFonts w:ascii="Times New Roman" w:hAnsi="Times New Roman" w:eastAsia="FangSong_GB2312"/>
          <w:bCs/>
          <w:color w:val="auto"/>
          <w:sz w:val="32"/>
          <w:szCs w:val="32"/>
        </w:rPr>
        <w:t>根据上述规定，基于上述调查情况和评估结论，本机关</w:t>
      </w:r>
      <w:r>
        <w:rPr>
          <w:rFonts w:hint="eastAsia" w:ascii="Times New Roman" w:hAnsi="Times New Roman" w:eastAsia="FangSong_GB2312"/>
          <w:bCs/>
          <w:color w:val="auto"/>
          <w:sz w:val="32"/>
          <w:szCs w:val="32"/>
          <w:lang w:val="en-US" w:eastAsia="zh-CN"/>
        </w:rPr>
        <w:t>决定</w:t>
      </w:r>
      <w:r>
        <w:rPr>
          <w:rFonts w:ascii="Times New Roman" w:hAnsi="Times New Roman" w:eastAsia="FangSong_GB2312"/>
          <w:bCs/>
          <w:color w:val="auto"/>
          <w:sz w:val="32"/>
          <w:szCs w:val="32"/>
        </w:rPr>
        <w:t>给予</w:t>
      </w:r>
      <w:r>
        <w:rPr>
          <w:rFonts w:hint="eastAsia" w:ascii="Times New Roman" w:hAnsi="Times New Roman" w:eastAsia="FangSong_GB2312"/>
          <w:color w:val="auto"/>
          <w:sz w:val="32"/>
          <w:szCs w:val="32"/>
        </w:rPr>
        <w:t>腾讯</w:t>
      </w:r>
      <w:r>
        <w:rPr>
          <w:rFonts w:ascii="Times New Roman" w:hAnsi="Times New Roman" w:eastAsia="FangSong_GB2312"/>
          <w:bCs/>
          <w:color w:val="auto"/>
          <w:sz w:val="32"/>
        </w:rPr>
        <w:t>5</w:t>
      </w:r>
      <w:r>
        <w:rPr>
          <w:rFonts w:ascii="Times New Roman" w:hAnsi="Times New Roman" w:eastAsia="FangSong_GB2312"/>
          <w:bCs/>
          <w:color w:val="auto"/>
          <w:sz w:val="32"/>
          <w:szCs w:val="32"/>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eastAsia"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w:t>
      </w:r>
      <w:r>
        <w:rPr>
          <w:rFonts w:hint="eastAsia" w:eastAsia="仿宋_GB2312" w:cs="Times New Roman"/>
          <w:color w:val="auto"/>
          <w:kern w:val="2"/>
          <w:sz w:val="32"/>
          <w:szCs w:val="32"/>
          <w:lang w:eastAsia="zh-CN"/>
        </w:rPr>
        <w:t>六十八</w:t>
      </w:r>
      <w:r>
        <w:rPr>
          <w:rFonts w:hint="default" w:ascii="Times New Roman" w:hAnsi="Times New Roman" w:eastAsia="仿宋_GB2312" w:cs="Times New Roman"/>
          <w:color w:val="auto"/>
          <w:kern w:val="2"/>
          <w:sz w:val="32"/>
          <w:szCs w:val="32"/>
          <w:lang w:eastAsia="zh-CN"/>
        </w:rPr>
        <w:t>条、第</w:t>
      </w:r>
      <w:r>
        <w:rPr>
          <w:rFonts w:hint="eastAsia" w:eastAsia="仿宋_GB2312" w:cs="Times New Roman"/>
          <w:color w:val="auto"/>
          <w:kern w:val="2"/>
          <w:sz w:val="32"/>
          <w:szCs w:val="32"/>
          <w:lang w:eastAsia="zh-CN"/>
        </w:rPr>
        <w:t>六十九</w:t>
      </w:r>
      <w:r>
        <w:rPr>
          <w:rFonts w:hint="default" w:ascii="Times New Roman" w:hAnsi="Times New Roman" w:eastAsia="仿宋_GB2312" w:cs="Times New Roman"/>
          <w:color w:val="auto"/>
          <w:kern w:val="2"/>
          <w:sz w:val="32"/>
          <w:szCs w:val="32"/>
          <w:lang w:eastAsia="zh-CN"/>
        </w:rPr>
        <w:t>条的规定当场收缴的罚款外，作出行政处罚决定的行政机关及其执法人员不得自行收缴罚款。当事人应当自收到行政处罚决定书之日起十五日内，到指定的银行</w:t>
      </w:r>
      <w:r>
        <w:rPr>
          <w:rFonts w:hint="eastAsia" w:eastAsia="仿宋_GB2312" w:cs="Times New Roman"/>
          <w:color w:val="auto"/>
          <w:kern w:val="2"/>
          <w:sz w:val="32"/>
          <w:szCs w:val="32"/>
          <w:lang w:eastAsia="zh-CN"/>
        </w:rPr>
        <w:t>或者通过电子支付系统</w:t>
      </w:r>
      <w:r>
        <w:rPr>
          <w:rFonts w:hint="default" w:ascii="Times New Roman" w:hAnsi="Times New Roman" w:eastAsia="仿宋_GB2312" w:cs="Times New Roman"/>
          <w:color w:val="auto"/>
          <w:kern w:val="2"/>
          <w:sz w:val="32"/>
          <w:szCs w:val="32"/>
          <w:lang w:eastAsia="zh-CN"/>
        </w:rPr>
        <w:t>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应当自收到本行政处罚决定书之日起十五日内，携缴款码到1</w:t>
      </w:r>
      <w:r>
        <w:rPr>
          <w:rFonts w:hint="default"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家中央财政非税收入收缴代理银行（工、农、中、建、交、中信、光大、招商、邮储、华夏、平安、兴业</w:t>
      </w:r>
      <w:r>
        <w:rPr>
          <w:rFonts w:hint="eastAsia"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ascii="Times New Roman" w:hAnsi="Times New Roman" w:eastAsia="仿宋_GB2312" w:cs="Times New Roman"/>
          <w:color w:val="auto"/>
          <w:kern w:val="2"/>
          <w:sz w:val="32"/>
          <w:szCs w:val="32"/>
          <w:lang w:eastAsia="zh-CN"/>
        </w:rPr>
        <w:t>缴纳</w:t>
      </w:r>
      <w:r>
        <w:rPr>
          <w:rFonts w:hint="default" w:ascii="Times New Roman" w:hAnsi="Times New Roman" w:eastAsia="仿宋_GB2312" w:cs="Times New Roman"/>
          <w:color w:val="auto"/>
          <w:kern w:val="2"/>
          <w:sz w:val="32"/>
          <w:szCs w:val="32"/>
        </w:rPr>
        <w:t>罚款。缴款码：</w:t>
      </w:r>
      <w:r>
        <w:rPr>
          <w:rFonts w:hint="default" w:ascii="Times New Roman" w:hAnsi="Times New Roman" w:eastAsia="仿宋_GB2312" w:cs="Times New Roman"/>
          <w:color w:val="auto"/>
          <w:kern w:val="2"/>
          <w:sz w:val="32"/>
          <w:szCs w:val="32"/>
          <w:lang w:val="en-US" w:eastAsia="zh-CN"/>
        </w:rPr>
        <w:t>000000210</w:t>
      </w:r>
      <w:r>
        <w:rPr>
          <w:rFonts w:hint="eastAsia" w:ascii="Times New Roman" w:hAnsi="Times New Roman" w:eastAsia="仿宋_GB2312" w:cs="Times New Roman"/>
          <w:color w:val="auto"/>
          <w:kern w:val="2"/>
          <w:sz w:val="32"/>
          <w:szCs w:val="32"/>
          <w:lang w:val="en-US" w:eastAsia="zh-CN"/>
        </w:rPr>
        <w:t>21</w:t>
      </w:r>
      <w:r>
        <w:rPr>
          <w:rFonts w:hint="default"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val="en-US" w:eastAsia="zh-CN"/>
        </w:rPr>
        <w:t>4640</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5"/>
        <w:rPr>
          <w:rFonts w:hint="default"/>
        </w:rPr>
      </w:pPr>
    </w:p>
    <w:p>
      <w:pPr>
        <w:keepNext w:val="0"/>
        <w:keepLines w:val="0"/>
        <w:pageBreakBefore w:val="0"/>
        <w:widowControl w:val="0"/>
        <w:kinsoku/>
        <w:wordWrap/>
        <w:topLinePunct w:val="0"/>
        <w:bidi w:val="0"/>
        <w:snapToGrid w:val="0"/>
        <w:spacing w:line="594" w:lineRule="exact"/>
        <w:ind w:firstLine="5536"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324"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16</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2"/>
          <w:sz w:val="32"/>
          <w:szCs w:val="32"/>
        </w:rPr>
        <w:t>（此件公开发布）</w:t>
      </w:r>
    </w:p>
    <w:p>
      <w:pPr>
        <w:keepNext w:val="0"/>
        <w:keepLines w:val="0"/>
        <w:pageBreakBefore w:val="0"/>
        <w:widowControl w:val="0"/>
        <w:kinsoku/>
        <w:wordWrap/>
        <w:topLinePunct w:val="0"/>
        <w:bidi w:val="0"/>
        <w:spacing w:line="594" w:lineRule="exact"/>
        <w:ind w:firstLine="640"/>
        <w:jc w:val="center"/>
        <w:rPr>
          <w:rFonts w:ascii="Times New Roman" w:hAnsi="Times New Roman"/>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KaiTi_GB2312">
    <w:altName w:val="楷体"/>
    <w:panose1 w:val="020B0604020202020204"/>
    <w:charset w:val="86"/>
    <w:family w:val="moder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2529"/>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2529"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W7l30AAAAAIBAAAPAAAAAAAAAAEAIAAAACIAAABkcnMvZG93bnJldi54bWxQSwECFAAUAAAACACH&#10;TuJAeWZ7B/MBAADVAwAADgAAAAAAAAABACAAAAAfAQAAZHJzL2Uyb0RvYy54bWxQSwUGAAAAAAYA&#10;BgBZAQAAhA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B645B"/>
    <w:multiLevelType w:val="multilevel"/>
    <w:tmpl w:val="420B645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0C"/>
    <w:rsid w:val="000073B9"/>
    <w:rsid w:val="00012868"/>
    <w:rsid w:val="000209A5"/>
    <w:rsid w:val="0003166A"/>
    <w:rsid w:val="0005107D"/>
    <w:rsid w:val="000647E4"/>
    <w:rsid w:val="00072670"/>
    <w:rsid w:val="000A7EB0"/>
    <w:rsid w:val="000B0870"/>
    <w:rsid w:val="000B5134"/>
    <w:rsid w:val="000D02B7"/>
    <w:rsid w:val="000F6092"/>
    <w:rsid w:val="0012207C"/>
    <w:rsid w:val="001225D7"/>
    <w:rsid w:val="00132378"/>
    <w:rsid w:val="001327B1"/>
    <w:rsid w:val="00134138"/>
    <w:rsid w:val="001417BC"/>
    <w:rsid w:val="00141A78"/>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746CE"/>
    <w:rsid w:val="0029001D"/>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04CFE"/>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05FB"/>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13C9"/>
    <w:rsid w:val="00873886"/>
    <w:rsid w:val="008817A8"/>
    <w:rsid w:val="00886424"/>
    <w:rsid w:val="00896118"/>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4113E"/>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17FC"/>
    <w:rsid w:val="00B662BE"/>
    <w:rsid w:val="00B74F3C"/>
    <w:rsid w:val="00BA0DE9"/>
    <w:rsid w:val="00BB312F"/>
    <w:rsid w:val="00BC7C19"/>
    <w:rsid w:val="00BD1C62"/>
    <w:rsid w:val="00BD3884"/>
    <w:rsid w:val="00BE7DB3"/>
    <w:rsid w:val="00BF4AE5"/>
    <w:rsid w:val="00C11894"/>
    <w:rsid w:val="00C14186"/>
    <w:rsid w:val="00C4759D"/>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1F8"/>
    <w:rsid w:val="00D22BE7"/>
    <w:rsid w:val="00D47F69"/>
    <w:rsid w:val="00D5632F"/>
    <w:rsid w:val="00D72770"/>
    <w:rsid w:val="00D741CA"/>
    <w:rsid w:val="00DC47C6"/>
    <w:rsid w:val="00DE0689"/>
    <w:rsid w:val="00DE06BB"/>
    <w:rsid w:val="00E33AE4"/>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3F5DCD"/>
    <w:rsid w:val="05EA4871"/>
    <w:rsid w:val="07FA31A5"/>
    <w:rsid w:val="09976D0C"/>
    <w:rsid w:val="0C1667C0"/>
    <w:rsid w:val="0C9E128A"/>
    <w:rsid w:val="0F2A21F5"/>
    <w:rsid w:val="11775769"/>
    <w:rsid w:val="11C631A0"/>
    <w:rsid w:val="138D4A74"/>
    <w:rsid w:val="16760470"/>
    <w:rsid w:val="1ED04F3F"/>
    <w:rsid w:val="209D6B08"/>
    <w:rsid w:val="20D42AE6"/>
    <w:rsid w:val="23010EEB"/>
    <w:rsid w:val="23B43E09"/>
    <w:rsid w:val="25835D2F"/>
    <w:rsid w:val="265E4A2A"/>
    <w:rsid w:val="278D5F03"/>
    <w:rsid w:val="2AF76152"/>
    <w:rsid w:val="2C516C83"/>
    <w:rsid w:val="2FA90555"/>
    <w:rsid w:val="31D93945"/>
    <w:rsid w:val="35D44F80"/>
    <w:rsid w:val="36A21023"/>
    <w:rsid w:val="3A176F87"/>
    <w:rsid w:val="3A373975"/>
    <w:rsid w:val="3B4F409E"/>
    <w:rsid w:val="3CE71F92"/>
    <w:rsid w:val="3E8F573B"/>
    <w:rsid w:val="3F0A2462"/>
    <w:rsid w:val="3F475277"/>
    <w:rsid w:val="3FC61702"/>
    <w:rsid w:val="40B2096A"/>
    <w:rsid w:val="44531183"/>
    <w:rsid w:val="466C1FD6"/>
    <w:rsid w:val="46D754DB"/>
    <w:rsid w:val="48450C62"/>
    <w:rsid w:val="49556857"/>
    <w:rsid w:val="49FE60F3"/>
    <w:rsid w:val="4ACC368A"/>
    <w:rsid w:val="4C4E5641"/>
    <w:rsid w:val="4D19468D"/>
    <w:rsid w:val="4E5558B7"/>
    <w:rsid w:val="4FF275F4"/>
    <w:rsid w:val="534963B9"/>
    <w:rsid w:val="535A72C1"/>
    <w:rsid w:val="546F323D"/>
    <w:rsid w:val="56CE2E2B"/>
    <w:rsid w:val="57281885"/>
    <w:rsid w:val="57AD46A0"/>
    <w:rsid w:val="58D96A94"/>
    <w:rsid w:val="58E70FA8"/>
    <w:rsid w:val="5A154624"/>
    <w:rsid w:val="5ACE3690"/>
    <w:rsid w:val="5BF17393"/>
    <w:rsid w:val="5CDD3466"/>
    <w:rsid w:val="5D6BD3D0"/>
    <w:rsid w:val="5F3E130C"/>
    <w:rsid w:val="5FF756A6"/>
    <w:rsid w:val="60CF2FE5"/>
    <w:rsid w:val="60F10E6A"/>
    <w:rsid w:val="65045474"/>
    <w:rsid w:val="659352C2"/>
    <w:rsid w:val="65DB4174"/>
    <w:rsid w:val="695A7482"/>
    <w:rsid w:val="69B61531"/>
    <w:rsid w:val="6AA6469C"/>
    <w:rsid w:val="6B373F44"/>
    <w:rsid w:val="6B9B3CAB"/>
    <w:rsid w:val="6C587405"/>
    <w:rsid w:val="6D7A31DA"/>
    <w:rsid w:val="6F09650B"/>
    <w:rsid w:val="6F0C53D4"/>
    <w:rsid w:val="70E31A45"/>
    <w:rsid w:val="75536490"/>
    <w:rsid w:val="79432195"/>
    <w:rsid w:val="7B9B53F7"/>
    <w:rsid w:val="7BFFCBF8"/>
    <w:rsid w:val="7C911BC6"/>
    <w:rsid w:val="7CC16AEE"/>
    <w:rsid w:val="7DE70DF4"/>
    <w:rsid w:val="7E705B5A"/>
    <w:rsid w:val="7EDB39F1"/>
    <w:rsid w:val="7F471664"/>
    <w:rsid w:val="AE4D225A"/>
    <w:rsid w:val="F8AFBF6E"/>
    <w:rsid w:val="FBD9F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4">
    <w:name w:val="annotation text"/>
    <w:basedOn w:val="1"/>
    <w:link w:val="21"/>
    <w:semiHidden/>
    <w:unhideWhenUsed/>
    <w:qFormat/>
    <w:uiPriority w:val="99"/>
    <w:rPr>
      <w:sz w:val="20"/>
      <w:szCs w:val="20"/>
    </w:rPr>
  </w:style>
  <w:style w:type="paragraph" w:styleId="5">
    <w:name w:val="Body Text"/>
    <w:basedOn w:val="1"/>
    <w:unhideWhenUsed/>
    <w:qFormat/>
    <w:uiPriority w:val="0"/>
    <w:pPr>
      <w:spacing w:after="12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22"/>
    <w:semiHidden/>
    <w:unhideWhenUsed/>
    <w:qFormat/>
    <w:uiPriority w:val="99"/>
    <w:rPr>
      <w:b/>
      <w:bCs/>
    </w:rPr>
  </w:style>
  <w:style w:type="character" w:styleId="12">
    <w:name w:val="page number"/>
    <w:basedOn w:val="11"/>
    <w:qFormat/>
    <w:uiPriority w:val="0"/>
  </w:style>
  <w:style w:type="character" w:styleId="13">
    <w:name w:val="annotation reference"/>
    <w:semiHidden/>
    <w:unhideWhenUsed/>
    <w:qFormat/>
    <w:uiPriority w:val="99"/>
    <w:rPr>
      <w:sz w:val="16"/>
      <w:szCs w:val="16"/>
    </w:rPr>
  </w:style>
  <w:style w:type="character" w:customStyle="1" w:styleId="14">
    <w:name w:val="Heading 1 Char"/>
    <w:link w:val="3"/>
    <w:qFormat/>
    <w:uiPriority w:val="0"/>
    <w:rPr>
      <w:rFonts w:ascii="方正小标宋简体" w:hAnsi="Times New Roman" w:eastAsia="方正小标宋简体"/>
      <w:sz w:val="44"/>
      <w:szCs w:val="36"/>
    </w:rPr>
  </w:style>
  <w:style w:type="character" w:customStyle="1" w:styleId="15">
    <w:name w:val="Footer Char"/>
    <w:link w:val="6"/>
    <w:semiHidden/>
    <w:qFormat/>
    <w:uiPriority w:val="99"/>
    <w:rPr>
      <w:sz w:val="18"/>
      <w:szCs w:val="18"/>
    </w:rPr>
  </w:style>
  <w:style w:type="character" w:customStyle="1" w:styleId="16">
    <w:name w:val="Header Char"/>
    <w:link w:val="7"/>
    <w:semiHidden/>
    <w:qFormat/>
    <w:uiPriority w:val="99"/>
    <w:rPr>
      <w:sz w:val="18"/>
      <w:szCs w:val="18"/>
    </w:rPr>
  </w:style>
  <w:style w:type="character" w:customStyle="1" w:styleId="17">
    <w:name w:val="内容 Char"/>
    <w:link w:val="18"/>
    <w:qFormat/>
    <w:uiPriority w:val="0"/>
    <w:rPr>
      <w:rFonts w:ascii="FangSong_GB2312" w:hAnsi="FangSong_GB2312" w:eastAsia="FangSong_GB2312"/>
      <w:kern w:val="2"/>
      <w:sz w:val="32"/>
      <w:szCs w:val="32"/>
    </w:rPr>
  </w:style>
  <w:style w:type="paragraph" w:customStyle="1" w:styleId="18">
    <w:name w:val="内容"/>
    <w:basedOn w:val="1"/>
    <w:link w:val="17"/>
    <w:qFormat/>
    <w:uiPriority w:val="0"/>
    <w:pPr>
      <w:suppressAutoHyphens/>
      <w:overflowPunct w:val="0"/>
      <w:autoSpaceDE w:val="0"/>
      <w:autoSpaceDN w:val="0"/>
      <w:adjustRightInd w:val="0"/>
      <w:spacing w:line="360" w:lineRule="auto"/>
      <w:ind w:firstLine="200" w:firstLineChars="200"/>
    </w:pPr>
    <w:rPr>
      <w:rFonts w:ascii="FangSong_GB2312" w:hAnsi="FangSong_GB2312" w:eastAsia="FangSong_GB2312"/>
      <w:sz w:val="32"/>
      <w:szCs w:val="32"/>
    </w:rPr>
  </w:style>
  <w:style w:type="paragraph" w:customStyle="1" w:styleId="19">
    <w:name w:val="Default"/>
    <w:qFormat/>
    <w:uiPriority w:val="0"/>
    <w:pPr>
      <w:widowControl w:val="0"/>
      <w:autoSpaceDE w:val="0"/>
      <w:autoSpaceDN w:val="0"/>
      <w:adjustRightInd w:val="0"/>
    </w:pPr>
    <w:rPr>
      <w:rFonts w:ascii="KaiTi_GB2312" w:hAnsi="Calibri" w:eastAsia="KaiTi_GB2312" w:cs="KaiTi_GB2312"/>
      <w:color w:val="000000"/>
      <w:sz w:val="24"/>
      <w:szCs w:val="24"/>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 w:type="character" w:customStyle="1" w:styleId="21">
    <w:name w:val="Comment Text Char"/>
    <w:link w:val="4"/>
    <w:semiHidden/>
    <w:qFormat/>
    <w:uiPriority w:val="99"/>
    <w:rPr>
      <w:kern w:val="2"/>
    </w:rPr>
  </w:style>
  <w:style w:type="character" w:customStyle="1" w:styleId="22">
    <w:name w:val="Comment Subject Char"/>
    <w:link w:val="9"/>
    <w:semiHidden/>
    <w:qFormat/>
    <w:uiPriority w:val="99"/>
    <w:rPr>
      <w:b/>
      <w:bCs/>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333</Words>
  <Characters>1903</Characters>
  <Lines>15</Lines>
  <Paragraphs>4</Paragraphs>
  <TotalTime>0</TotalTime>
  <ScaleCrop>false</ScaleCrop>
  <LinksUpToDate>false</LinksUpToDate>
  <CharactersWithSpaces>2232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2021-10-26T15:14:00Z</dcterms:created>
  <dc:creator>赵莉莉</dc:creator>
  <cp:lastModifiedBy>网站服务岗</cp:lastModifiedBy>
  <cp:lastPrinted>2021-10-23T16:53:00Z</cp:lastPrinted>
  <dcterms:modified xsi:type="dcterms:W3CDTF">2021-11-19T08:41:30Z</dcterms:modified>
  <dc:title>国家市场监督管理总局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