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kern w:val="2"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30"/>
          <w:kern w:val="0"/>
          <w:sz w:val="52"/>
          <w:szCs w:val="52"/>
          <w:fitText w:val="5742" w:id="1755778614"/>
        </w:rPr>
        <w:t>国家市场监督管理总</w:t>
      </w:r>
      <w:r>
        <w:rPr>
          <w:rFonts w:hint="default" w:ascii="Times New Roman" w:hAnsi="Times New Roman" w:eastAsia="黑体" w:cs="Times New Roman"/>
          <w:bCs/>
          <w:color w:val="000000"/>
          <w:spacing w:val="1"/>
          <w:kern w:val="0"/>
          <w:sz w:val="52"/>
          <w:szCs w:val="52"/>
          <w:fitText w:val="5742" w:id="1755778614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175"/>
          <w:kern w:val="0"/>
          <w:sz w:val="52"/>
          <w:szCs w:val="52"/>
          <w:fitText w:val="5742" w:id="1"/>
        </w:rPr>
        <w:t>行政处罚决定</w:t>
      </w:r>
      <w:r>
        <w:rPr>
          <w:rFonts w:hint="default" w:ascii="Times New Roman" w:hAnsi="Times New Roman" w:eastAsia="黑体" w:cs="Times New Roman"/>
          <w:bCs/>
          <w:color w:val="000000"/>
          <w:spacing w:val="1"/>
          <w:kern w:val="0"/>
          <w:sz w:val="52"/>
          <w:szCs w:val="52"/>
          <w:fitText w:val="5742" w:id="1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国市监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处罚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〕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115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28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当事人：</w:t>
      </w:r>
      <w:r>
        <w:rPr>
          <w:rFonts w:hint="eastAsia" w:eastAsia="仿宋_GB2312" w:cs="Times New Roman"/>
          <w:sz w:val="32"/>
          <w:lang w:val="en-US" w:eastAsia="zh-CN"/>
        </w:rPr>
        <w:t>江苏聚成空间科技有限公司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after="0" w:line="594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住  所：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宿迁市宿豫区洪泽湖东路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19号恒通大厦421—424室—YS00450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after="0" w:line="594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根据《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反垄断法》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（以下简称《反垄断法》）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《经营者集中审查暂行规定》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，本机关于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月12日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对</w:t>
      </w:r>
      <w:r>
        <w:rPr>
          <w:rFonts w:hint="eastAsia" w:eastAsia="仿宋_GB2312" w:cs="Times New Roman"/>
          <w:sz w:val="32"/>
          <w:lang w:val="en-US" w:eastAsia="zh-CN"/>
        </w:rPr>
        <w:t>江苏聚成空间科技有限公司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6"/>
          <w:lang w:val="en-US" w:eastAsia="zh-CN"/>
        </w:rPr>
        <w:t>（以下简称</w:t>
      </w:r>
      <w:r>
        <w:rPr>
          <w:rFonts w:hint="eastAsia" w:eastAsia="仿宋_GB2312" w:cs="Times New Roman"/>
          <w:b w:val="0"/>
          <w:bCs w:val="0"/>
          <w:sz w:val="32"/>
          <w:szCs w:val="36"/>
          <w:lang w:val="en-US" w:eastAsia="zh-CN"/>
        </w:rPr>
        <w:t>聚成空间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6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</w:rPr>
        <w:t>收购苏州工品汇信息科技有限公司（以下简称</w:t>
      </w:r>
      <w:r>
        <w:rPr>
          <w:rFonts w:hint="eastAsia" w:eastAsia="仿宋_GB2312" w:cs="Times New Roman"/>
          <w:sz w:val="32"/>
          <w:lang w:eastAsia="zh-CN"/>
        </w:rPr>
        <w:t>工品汇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）股权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涉嫌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未依法申报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违法实施经营者集中案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进行立案调查。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bidi w:val="0"/>
        <w:adjustRightInd w:val="0"/>
        <w:snapToGrid/>
        <w:spacing w:before="0" w:beforeAutospacing="0" w:after="0" w:afterAutospacing="0" w:line="594" w:lineRule="exact"/>
        <w:ind w:left="0" w:right="0" w:firstLine="628" w:firstLineChars="200"/>
        <w:jc w:val="lef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经查，该案构成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未依法申报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违法实施经营者集中，但不具有排除、限制竞争的效果。本机关按照《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行政处罚法》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（以下简称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《行政处罚法》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的规定，向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聚成空间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送达了《行政处罚告知书》，告知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当事人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拟作出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行政处罚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内容及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事实、理由、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依据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并告知当事人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依法享有的陈述、申辩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要求听证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权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利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聚成空间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在规定期限内没有提出陈述、申辩意见或要求举行听证。本案现已调查、审理终结。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28" w:firstLineChars="200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  <w:t>（一）交易方。</w:t>
      </w:r>
    </w:p>
    <w:p>
      <w:pPr>
        <w:ind w:firstLine="628" w:firstLineChars="200"/>
        <w:contextualSpacing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收购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方：</w:t>
      </w:r>
      <w:r>
        <w:rPr>
          <w:rFonts w:hint="eastAsia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聚成空间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2019年于江苏省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宿迁市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注册成立，最终控制人是京东集团股份有限公司（以下简称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京东集团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），聚成空间主要从事网络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技术研发、技术服务，商务信息咨询等业务。2019年京东集团全球营业额为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，中国境内营业额为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ind w:firstLine="628" w:firstLineChars="200"/>
        <w:contextualSpacing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被收购方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工品汇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2007年于江苏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苏州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注册成立，交易前最终控制人是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略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。工品汇主要从事工业品分销业务。2019年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工品汇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全球营业额为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，中国境内营业额为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  <w:t>（二）交易概况。</w:t>
      </w:r>
    </w:p>
    <w:p>
      <w:pPr>
        <w:pStyle w:val="9"/>
        <w:spacing w:line="240" w:lineRule="auto"/>
        <w:ind w:firstLine="640"/>
        <w:contextualSpacing/>
        <w:rPr>
          <w:rFonts w:hint="default" w:ascii="Times New Roman" w:hAnsi="Times New Roman" w:eastAsia="宋体" w:cs="Times New Roman"/>
          <w:bCs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本次交易系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股权收购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bookmarkStart w:id="0" w:name="_Hlk57466722"/>
      <w:r>
        <w:rPr>
          <w:rFonts w:hint="default" w:ascii="Times New Roman" w:hAnsi="Times New Roman" w:eastAsia="仿宋_GB2312" w:cs="Times New Roman"/>
          <w:bCs/>
        </w:rPr>
        <w:t>2020年4月24日，聚成空间与(</w:t>
      </w:r>
      <w:r>
        <w:rPr>
          <w:rFonts w:hint="eastAsia" w:ascii="Times New Roman" w:hAnsi="Times New Roman" w:cs="Times New Roman"/>
          <w:bCs/>
          <w:lang w:eastAsia="zh-CN"/>
        </w:rPr>
        <w:t>略</w:t>
      </w:r>
      <w:r>
        <w:rPr>
          <w:rFonts w:hint="default" w:ascii="Times New Roman" w:hAnsi="Times New Roman" w:eastAsia="仿宋_GB2312" w:cs="Times New Roman"/>
          <w:bCs/>
        </w:rPr>
        <w:t>)等分别签署《股权转让协议》，取得工品汇100%的股权。</w:t>
      </w:r>
      <w:r>
        <w:rPr>
          <w:rFonts w:hint="default" w:ascii="Times New Roman" w:hAnsi="Times New Roman" w:eastAsia="仿宋_GB2312" w:cs="Times New Roman"/>
        </w:rPr>
        <w:t>2020年8月13日完成交割，</w:t>
      </w:r>
      <w:r>
        <w:rPr>
          <w:rFonts w:hint="eastAsia" w:ascii="Times New Roman" w:hAnsi="Times New Roman" w:cs="Times New Roman"/>
          <w:lang w:eastAsia="zh-CN"/>
        </w:rPr>
        <w:t>聚成空间</w:t>
      </w:r>
      <w:r>
        <w:rPr>
          <w:rFonts w:hint="default" w:ascii="Times New Roman" w:hAnsi="Times New Roman" w:eastAsia="仿宋_GB2312" w:cs="Times New Roman"/>
        </w:rPr>
        <w:t>取得对工品汇的</w:t>
      </w:r>
      <w:r>
        <w:rPr>
          <w:rFonts w:hint="eastAsia" w:ascii="Times New Roman" w:hAnsi="Times New Roman" w:cs="Times New Roman"/>
          <w:lang w:eastAsia="zh-CN"/>
        </w:rPr>
        <w:t>单独</w:t>
      </w:r>
      <w:r>
        <w:rPr>
          <w:rFonts w:hint="default" w:ascii="Times New Roman" w:hAnsi="Times New Roman" w:eastAsia="仿宋_GB2312" w:cs="Times New Roman"/>
        </w:rPr>
        <w:t>控制权。</w:t>
      </w:r>
      <w:bookmarkEnd w:id="0"/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二、违法事实及理由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  <w:t>（一）本案构成</w:t>
      </w: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lang w:eastAsia="zh-CN"/>
        </w:rPr>
        <w:t>未依法申报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  <w:t>违法实施的经营者集中。</w:t>
      </w:r>
    </w:p>
    <w:p>
      <w:pPr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28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《反垄断法》第二十条规定“经营者集中是指下列情形：（一）经营者合并；（二）经营者通过取得股权或者资产的方式取得对其他经营者的控制权；（三）经营者通过合同等方式取得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对其他经营者的控制权或者能够对其他经营者施加决定性影响”。该交易系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股权收购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聚成空间收购工品汇全部股权</w:t>
      </w:r>
      <w:r>
        <w:rPr>
          <w:rFonts w:hint="eastAsia" w:eastAsia="仿宋_GB2312"/>
          <w:sz w:val="32"/>
          <w:szCs w:val="32"/>
        </w:rPr>
        <w:t>并实施</w:t>
      </w:r>
      <w:r>
        <w:rPr>
          <w:rFonts w:hint="eastAsia" w:eastAsia="仿宋_GB2312"/>
          <w:sz w:val="32"/>
          <w:szCs w:val="32"/>
          <w:lang w:eastAsia="zh-CN"/>
        </w:rPr>
        <w:t>单独控制</w:t>
      </w:r>
      <w:r>
        <w:rPr>
          <w:rFonts w:hint="eastAsia" w:eastAsia="仿宋_GB2312"/>
          <w:sz w:val="32"/>
          <w:szCs w:val="32"/>
        </w:rPr>
        <w:t>，属于《反垄断法》第二十条规定的经营者集中。</w:t>
      </w:r>
    </w:p>
    <w:p>
      <w:pPr>
        <w:ind w:firstLine="628" w:firstLineChars="200"/>
        <w:contextualSpacing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京东集团2019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全球营业额（略）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，中国境内营业额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（略）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2019年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工品汇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全球营业额为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，中国境内营业额为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（略）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达到《国务院关于经营者集中申报标准的规定》第三条规定的申报标准，属于应当申报的情形。</w:t>
      </w:r>
    </w:p>
    <w:p>
      <w:pPr>
        <w:pStyle w:val="9"/>
        <w:spacing w:line="240" w:lineRule="auto"/>
        <w:ind w:firstLine="640"/>
        <w:contextualSpacing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《反垄断法》第二十一条规定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营者集中达到国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  <w:t>务院规定的申报标准的，经营者应当事先向国务院反垄断执法机构申报，未申报的不得实施集中”。</w:t>
      </w:r>
      <w:r>
        <w:rPr>
          <w:rFonts w:hint="default" w:ascii="Times New Roman" w:hAnsi="Times New Roman" w:eastAsia="仿宋_GB2312" w:cs="Times New Roman"/>
        </w:rPr>
        <w:t>2020年8月13日</w:t>
      </w:r>
      <w:r>
        <w:rPr>
          <w:rFonts w:hint="eastAsia" w:ascii="Times New Roman" w:hAnsi="Times New Roman"/>
          <w:sz w:val="32"/>
          <w:szCs w:val="32"/>
        </w:rPr>
        <w:t>，</w:t>
      </w:r>
      <w:r>
        <w:rPr>
          <w:rFonts w:hint="eastAsia" w:ascii="Times New Roman" w:hAnsi="Times New Roman" w:cs="Times New Roman"/>
          <w:lang w:eastAsia="zh-CN"/>
        </w:rPr>
        <w:t>交易完成</w:t>
      </w:r>
      <w:r>
        <w:rPr>
          <w:rFonts w:hint="default" w:ascii="Times New Roman" w:hAnsi="Times New Roman" w:eastAsia="仿宋_GB2312" w:cs="Times New Roman"/>
        </w:rPr>
        <w:t>交割，</w:t>
      </w:r>
      <w:r>
        <w:rPr>
          <w:rFonts w:hint="eastAsia" w:ascii="Times New Roman" w:hAnsi="Times New Roman" w:cs="Times New Roman"/>
          <w:lang w:eastAsia="zh-CN"/>
        </w:rPr>
        <w:t>聚成空间</w:t>
      </w:r>
      <w:r>
        <w:rPr>
          <w:rFonts w:hint="default" w:ascii="Times New Roman" w:hAnsi="Times New Roman" w:eastAsia="仿宋_GB2312" w:cs="Times New Roman"/>
        </w:rPr>
        <w:t>取得对工品汇的</w:t>
      </w:r>
      <w:r>
        <w:rPr>
          <w:rFonts w:hint="eastAsia" w:ascii="Times New Roman" w:hAnsi="Times New Roman" w:cs="Times New Roman"/>
          <w:lang w:eastAsia="zh-CN"/>
        </w:rPr>
        <w:t>单独</w:t>
      </w:r>
      <w:r>
        <w:rPr>
          <w:rFonts w:hint="default" w:ascii="Times New Roman" w:hAnsi="Times New Roman" w:eastAsia="仿宋_GB2312" w:cs="Times New Roman"/>
        </w:rPr>
        <w:t>控制权。</w:t>
      </w:r>
      <w:r>
        <w:rPr>
          <w:rFonts w:ascii="Times New Roman" w:hAnsi="Times New Roman"/>
          <w:sz w:val="32"/>
          <w:szCs w:val="32"/>
        </w:rPr>
        <w:t>在此之前未</w:t>
      </w:r>
      <w:r>
        <w:rPr>
          <w:rFonts w:hint="eastAsia" w:ascii="Times New Roman" w:hAnsi="Times New Roman"/>
          <w:sz w:val="32"/>
          <w:szCs w:val="32"/>
          <w:lang w:eastAsia="zh-CN"/>
        </w:rPr>
        <w:t>依法</w:t>
      </w:r>
      <w:bookmarkStart w:id="1" w:name="_GoBack"/>
      <w:bookmarkEnd w:id="1"/>
      <w:r>
        <w:rPr>
          <w:rFonts w:ascii="Times New Roman" w:hAnsi="Times New Roman"/>
          <w:sz w:val="32"/>
          <w:szCs w:val="32"/>
        </w:rPr>
        <w:t>申报，违反《反垄断法》第</w:t>
      </w:r>
      <w:r>
        <w:rPr>
          <w:rFonts w:hint="eastAsia" w:ascii="Times New Roman" w:hAnsi="Times New Roman"/>
          <w:sz w:val="32"/>
          <w:szCs w:val="32"/>
        </w:rPr>
        <w:t>二十一</w:t>
      </w:r>
      <w:r>
        <w:rPr>
          <w:rFonts w:ascii="Times New Roman" w:hAnsi="Times New Roman"/>
          <w:sz w:val="32"/>
          <w:szCs w:val="32"/>
        </w:rPr>
        <w:t>条，</w:t>
      </w:r>
      <w:r>
        <w:rPr>
          <w:rFonts w:hint="default" w:ascii="Times New Roman" w:hAnsi="Times New Roman" w:eastAsia="仿宋_GB2312" w:cs="Times New Roman"/>
          <w:lang w:val="en-US" w:eastAsia="zh-CN"/>
        </w:rPr>
        <w:t>构成</w:t>
      </w:r>
      <w:r>
        <w:rPr>
          <w:rFonts w:hint="eastAsia" w:ascii="Times New Roman" w:hAnsi="Times New Roman" w:eastAsia="仿宋_GB2312" w:cs="Times New Roman"/>
          <w:lang w:val="en-US" w:eastAsia="zh-CN"/>
        </w:rPr>
        <w:t>未依法申报</w:t>
      </w:r>
      <w:r>
        <w:rPr>
          <w:rFonts w:hint="default" w:ascii="Times New Roman" w:hAnsi="Times New Roman" w:eastAsia="仿宋_GB2312" w:cs="Times New Roman"/>
          <w:lang w:val="en-US" w:eastAsia="zh-CN"/>
        </w:rPr>
        <w:t>违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  <w:t>法实施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  <w:t>（二）本案不具有排除、限制竞争的效果。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28" w:firstLineChars="200"/>
        <w:textAlignment w:val="auto"/>
        <w:outlineLvl w:val="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本机关就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聚成空间收购工品汇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股权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对市场竞争的影响进行了评估，评估认为，该项经营者集中不会产生排除、限制竞争的效果。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三、行政处罚依据和决定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16" w:firstLineChars="196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《反垄断法》第四十八条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规定“经营者违反本法规定实施集中的，由国务院反垄断执法机构责令停止实施集中、限期处分股份或者资产、限期转让营业以及采取其他必要措施恢复到集中前的状态，可以处五十万元以下的罚款”。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《反垄断法》第四十九条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规定“对本法第四十六条、第四十七条、第四十八条规定的罚款，反垄断执法机构确定具体罚款数额时，应当考虑违法行为的性质、程度和持续的时间等因素”。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上述规定，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基于调查情况和评估结论，本机关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决定给予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聚成空间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0万元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罚款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的行政处罚。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16" w:firstLineChars="196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《行政处罚法》第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六十七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条规定“作出罚款决定的行政机关应当与收缴罚款的机构分离。除依照本法第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六十八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条、第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六十九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条的规定当场收缴的罚款外，作出行政处罚决定的行政机关及其执法人员不得自行收缴罚款。当事人应当自收到行政处罚决定书之日起十五日内，到指定的银行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或者通过电子支付系统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缴纳罚款。银行应当收受罚款，并将罚款直接上缴国库”。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当事人应当自收到本行政处罚决定书之日起十五日内，携缴款码到1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家中央财政非税收入收缴代理银行（工、农、中、建、交、中信、光大、招商、邮储、华夏、平安、兴业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、民生、广发、浙商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）任一银行网点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网上银行</w:t>
      </w:r>
      <w:r>
        <w:rPr>
          <w:rFonts w:hint="eastAsia" w:eastAsia="仿宋_GB2312" w:cs="Times New Roman"/>
          <w:bCs/>
          <w:color w:val="000000"/>
          <w:kern w:val="2"/>
          <w:sz w:val="32"/>
          <w:szCs w:val="32"/>
          <w:lang w:eastAsia="zh-CN"/>
        </w:rPr>
        <w:t>缴纳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款。缴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款码：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000000210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4826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当事人如对上述行政处罚决定不服，可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 xml:space="preserve">以自收到本行政处罚决定书之日起六十日内，向国家市场监督管理总局申请行政复议；或者自收到本行政处罚决定书之日起六个月内，依法向人民法院提起行政诉讼。行政复议或者行政诉讼期间，本行政处罚决定不停止执行。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5433" w:firstLineChars="173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市场监管总局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5225" w:firstLineChars="1664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年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月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28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（此件公开发布）</w:t>
      </w:r>
    </w:p>
    <w:sectPr>
      <w:footerReference r:id="rId3" w:type="default"/>
      <w:footerReference r:id="rId4" w:type="even"/>
      <w:pgSz w:w="11906" w:h="16838"/>
      <w:pgMar w:top="1440" w:right="1803" w:bottom="1440" w:left="1803" w:header="851" w:footer="1814" w:gutter="0"/>
      <w:cols w:space="0" w:num="1"/>
      <w:rtlGutter w:val="0"/>
      <w:docGrid w:type="linesAndChars" w:linePitch="290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570B1"/>
    <w:rsid w:val="01A21C5E"/>
    <w:rsid w:val="03A4696C"/>
    <w:rsid w:val="05D15580"/>
    <w:rsid w:val="075F674C"/>
    <w:rsid w:val="09AC08F5"/>
    <w:rsid w:val="12732934"/>
    <w:rsid w:val="13F85EFD"/>
    <w:rsid w:val="16657401"/>
    <w:rsid w:val="169767E4"/>
    <w:rsid w:val="173B2FCB"/>
    <w:rsid w:val="18CA6368"/>
    <w:rsid w:val="18DB1E51"/>
    <w:rsid w:val="192053EE"/>
    <w:rsid w:val="1A156921"/>
    <w:rsid w:val="1AA53E4E"/>
    <w:rsid w:val="1B095395"/>
    <w:rsid w:val="1C11264C"/>
    <w:rsid w:val="1D3570B1"/>
    <w:rsid w:val="1ED67F29"/>
    <w:rsid w:val="1F573D93"/>
    <w:rsid w:val="213F440E"/>
    <w:rsid w:val="21623065"/>
    <w:rsid w:val="21A54411"/>
    <w:rsid w:val="239A0124"/>
    <w:rsid w:val="265326DA"/>
    <w:rsid w:val="28C8606C"/>
    <w:rsid w:val="29171A1E"/>
    <w:rsid w:val="2A7A6DC6"/>
    <w:rsid w:val="2B0F6D0F"/>
    <w:rsid w:val="312E14CA"/>
    <w:rsid w:val="31E778A8"/>
    <w:rsid w:val="32B536B7"/>
    <w:rsid w:val="33B94AAA"/>
    <w:rsid w:val="33E16394"/>
    <w:rsid w:val="38043EF0"/>
    <w:rsid w:val="39E75B24"/>
    <w:rsid w:val="3D086E74"/>
    <w:rsid w:val="3FAD2E94"/>
    <w:rsid w:val="40ED54D1"/>
    <w:rsid w:val="4297136E"/>
    <w:rsid w:val="44F1186A"/>
    <w:rsid w:val="45546673"/>
    <w:rsid w:val="48A63464"/>
    <w:rsid w:val="49513DE5"/>
    <w:rsid w:val="49F75885"/>
    <w:rsid w:val="4ABC40B8"/>
    <w:rsid w:val="4B100830"/>
    <w:rsid w:val="4EF957B9"/>
    <w:rsid w:val="4EFD73AF"/>
    <w:rsid w:val="4F0F6D1C"/>
    <w:rsid w:val="51075873"/>
    <w:rsid w:val="52A77C54"/>
    <w:rsid w:val="55FB0D87"/>
    <w:rsid w:val="59D93744"/>
    <w:rsid w:val="5A3853F1"/>
    <w:rsid w:val="5B196388"/>
    <w:rsid w:val="5BDD2331"/>
    <w:rsid w:val="5C686AC3"/>
    <w:rsid w:val="5D4E6DD5"/>
    <w:rsid w:val="61345419"/>
    <w:rsid w:val="630535E1"/>
    <w:rsid w:val="63432760"/>
    <w:rsid w:val="640E6FE8"/>
    <w:rsid w:val="65BA08CA"/>
    <w:rsid w:val="68197930"/>
    <w:rsid w:val="686D740E"/>
    <w:rsid w:val="68865858"/>
    <w:rsid w:val="69D93D43"/>
    <w:rsid w:val="6A564164"/>
    <w:rsid w:val="6C262B74"/>
    <w:rsid w:val="6F712D0C"/>
    <w:rsid w:val="70001CDF"/>
    <w:rsid w:val="7073388E"/>
    <w:rsid w:val="774A1B2B"/>
    <w:rsid w:val="77611C2D"/>
    <w:rsid w:val="78790AA0"/>
    <w:rsid w:val="799C3559"/>
    <w:rsid w:val="7A782B89"/>
    <w:rsid w:val="7D641176"/>
    <w:rsid w:val="7DEC49A5"/>
    <w:rsid w:val="7FFE15AE"/>
    <w:rsid w:val="FEF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exact"/>
      <w:ind w:firstLine="420" w:firstLineChars="200"/>
    </w:pPr>
    <w:rPr>
      <w:szCs w:val="20"/>
    </w:rPr>
  </w:style>
  <w:style w:type="paragraph" w:styleId="3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内容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360" w:lineRule="auto"/>
      <w:ind w:firstLine="200" w:firstLineChars="20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2020-12-11T02:26:00Z</dcterms:created>
  <dc:creator>徐霄飞</dc:creator>
  <cp:lastModifiedBy>greatwall</cp:lastModifiedBy>
  <cp:lastPrinted>2021-07-03T06:21:00Z</cp:lastPrinted>
  <dcterms:modified xsi:type="dcterms:W3CDTF">2021-11-19T14:50:42Z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