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黑体"/>
          <w:sz w:val="32"/>
          <w:szCs w:val="32"/>
        </w:rPr>
      </w:pPr>
      <w:bookmarkStart w:id="1" w:name="_GoBack"/>
      <w:r>
        <w:rPr>
          <w:rFonts w:hint="default" w:ascii="Times New Roman" w:hAnsi="Times New Roman" w:eastAsia="黑体"/>
          <w:sz w:val="32"/>
          <w:szCs w:val="32"/>
        </w:rPr>
        <w:t>保健食品</w:t>
      </w:r>
      <w:r>
        <w:rPr>
          <w:rFonts w:ascii="Times New Roman" w:hAnsi="Times New Roman" w:eastAsia="黑体"/>
          <w:sz w:val="32"/>
          <w:szCs w:val="32"/>
        </w:rPr>
        <w:t>原料目录</w:t>
      </w:r>
      <w:r>
        <w:rPr>
          <w:rFonts w:hint="default" w:ascii="Times New Roman" w:hAnsi="Times New Roman" w:eastAsia="黑体"/>
          <w:sz w:val="32"/>
          <w:szCs w:val="32"/>
        </w:rPr>
        <w:t xml:space="preserve"> 蛋白质</w:t>
      </w:r>
    </w:p>
    <w:p>
      <w:pPr>
        <w:jc w:val="center"/>
        <w:rPr>
          <w:rFonts w:hint="default" w:ascii="Times New Roman" w:hAnsi="Times New Roman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（征求意见稿）</w:t>
      </w:r>
    </w:p>
    <w:bookmarkEnd w:id="1"/>
    <w:tbl>
      <w:tblPr>
        <w:tblStyle w:val="5"/>
        <w:tblpPr w:leftFromText="180" w:rightFromText="180" w:vertAnchor="page" w:horzAnchor="page" w:tblpX="1148" w:tblpY="3490"/>
        <w:tblW w:w="10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59"/>
        <w:gridCol w:w="1560"/>
        <w:gridCol w:w="1696"/>
        <w:gridCol w:w="207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59" w:type="dxa"/>
            <w:vMerge w:val="restart"/>
            <w:vAlign w:val="top"/>
          </w:tcPr>
          <w:p>
            <w:pPr>
              <w:spacing w:line="120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原料名称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每日用量</w:t>
            </w:r>
          </w:p>
        </w:tc>
        <w:tc>
          <w:tcPr>
            <w:tcW w:w="1995" w:type="dxa"/>
            <w:vMerge w:val="restart"/>
            <w:vAlign w:val="top"/>
          </w:tcPr>
          <w:p>
            <w:pPr>
              <w:spacing w:line="120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用量范围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适宜人群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不适宜人群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大豆分离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蛋白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6-25g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因蛋白质摄入不足而致免疫低下的成人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少年儿童、孕妇、乳母</w:t>
            </w:r>
          </w:p>
        </w:tc>
        <w:tc>
          <w:tcPr>
            <w:tcW w:w="20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人每日蛋白质总体食用量推荐为60g,可酌情根据个人每日食用量在用量范围内食用。无明显缺乏蛋白质的人群不推荐食用。植物蛋白过敏者慎用（使用大豆分离蛋白原料的产品标注），动物蛋白过敏者慎用（使用乳清蛋白原料的产品标注）。肾功能不全者应在医生指导下使用。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增强免疫力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乳清蛋白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hint="default" w:ascii="Times New Roman" w:hAnsi="Times New Roman" w:eastAsia="仿宋"/>
          <w:kern w:val="0"/>
          <w:sz w:val="28"/>
          <w:szCs w:val="28"/>
        </w:rPr>
        <w:t>大豆分离蛋白和乳清蛋白可以单独作为原料，两者也可复配使用。</w:t>
      </w:r>
    </w:p>
    <w:p>
      <w:pPr>
        <w:widowControl/>
        <w:jc w:val="left"/>
        <w:rPr>
          <w:rFonts w:ascii="Times New Roman" w:hAnsi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大豆分离蛋白 原料技术要求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【来源】以大豆豆粕为原料，通过提取、浓缩、分离、精制等工艺，去除或部分去除原料中的非蛋白成分(如水分、脂肪、碳水化合物等)而制得的产品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【感官要求】应符合表1规定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表1 感官指标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63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色泽</w:t>
            </w:r>
          </w:p>
        </w:tc>
        <w:tc>
          <w:tcPr>
            <w:tcW w:w="63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乳白色或淡黄色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滋味、气味</w:t>
            </w:r>
          </w:p>
        </w:tc>
        <w:tc>
          <w:tcPr>
            <w:tcW w:w="63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具有大豆蛋白特有的滋味和气味，无异味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状态</w:t>
            </w:r>
          </w:p>
        </w:tc>
        <w:tc>
          <w:tcPr>
            <w:tcW w:w="63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干燥均匀粉末，无结块，无正常视力可见外来异物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【理化指标】应符合表2规定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表2 理化指标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857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指标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水分，%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7.0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灰分，%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8.0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脂肪，%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2.0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GB/T5512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粗纤维，%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0.5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840" w:hanging="84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GB/T5512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黄曲霉毒素B1，μg/kg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0.5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840" w:hanging="84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脲酶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阴性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GB5413.31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铅（以Pb计），mg/kg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0.5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总砷（以As计），mg/kg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汞，mg/kg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0.3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镉（以Cd计），mg/kg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0.2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铬（以Cr计），mg/kg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GB/T5009.123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Hlk85877565"/>
      <w:r>
        <w:rPr>
          <w:rFonts w:hint="default" w:ascii="Times New Roman" w:hAnsi="Times New Roman" w:eastAsia="仿宋_GB2312" w:cs="Times New Roman"/>
          <w:sz w:val="28"/>
          <w:szCs w:val="28"/>
        </w:rPr>
        <w:t>【标志性成分指标】应符合表3规定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表3 标志性成分指标</w:t>
      </w:r>
    </w:p>
    <w:tbl>
      <w:tblPr>
        <w:tblStyle w:val="2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984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指标</w:t>
            </w:r>
          </w:p>
        </w:tc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蛋白质，% 以干基计 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90.0</w:t>
            </w:r>
          </w:p>
        </w:tc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5009.5 第三法 燃烧法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以上氮折算成蛋白质的系数以6.25计。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【微生物指标】应符合表3规定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表3 微生物指标</w:t>
      </w:r>
    </w:p>
    <w:tbl>
      <w:tblPr>
        <w:tblStyle w:val="2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701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指标</w:t>
            </w: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菌落总数，CFU/g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30000</w:t>
            </w: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霉菌和酵母，CFU/g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大肠菌群，MPN/g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 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0.92</w:t>
            </w: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4789.3 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沙门氏菌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        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0/25g</w:t>
            </w: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4789.4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金黄色葡萄球菌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  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0/25g</w:t>
            </w: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4789.10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【剂型】粉剂。产品生产工艺按照现行保健食品备案产品要求，粉剂产品采用粉碎、混合、包装等物理工序，不得以水解等方式改变原料目录的物质基础。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</w:rPr>
        <w:t>乳清蛋白 原料技术要求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【来源】以乳清为原料，经分离、浓缩、干燥等工艺制成的粉末状产品。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【感官要求】应符合表1规定。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表1 感官要求</w:t>
      </w:r>
    </w:p>
    <w:tbl>
      <w:tblPr>
        <w:tblStyle w:val="3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6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6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色泽</w:t>
            </w:r>
          </w:p>
        </w:tc>
        <w:tc>
          <w:tcPr>
            <w:tcW w:w="6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乳白色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滋味、气味</w:t>
            </w:r>
          </w:p>
        </w:tc>
        <w:tc>
          <w:tcPr>
            <w:tcW w:w="6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略有如香味或乳腥味，无异味。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状态</w:t>
            </w:r>
          </w:p>
        </w:tc>
        <w:tc>
          <w:tcPr>
            <w:tcW w:w="6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干燥均匀的粉末状产品、无结块、无正常视力可见杂质。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【理化指标】应符合表2规定。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表2 理化要求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857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指标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水分，%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6.0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灰分，%                        ≤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9.0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黄曲霉毒素M1，μg/kg            ≤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0.5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铅（以Pb计），mg/kg             ≤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0.3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总砷（以As计），mg/kg          ≤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0.5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汞，mg/kg                      ≤         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0.3</w:t>
            </w:r>
          </w:p>
        </w:tc>
        <w:tc>
          <w:tcPr>
            <w:tcW w:w="2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GB5009.17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【标志性成分指标】应符合表3规定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表3 标志性成分指标</w:t>
      </w:r>
    </w:p>
    <w:tbl>
      <w:tblPr>
        <w:tblStyle w:val="2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099"/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指标</w:t>
            </w:r>
          </w:p>
        </w:tc>
        <w:tc>
          <w:tcPr>
            <w:tcW w:w="3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蛋白质，%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3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5009.5 第三法 燃烧法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以上氮折算成蛋白质的系数以6.25计。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【微生物指标】应符合表3规定。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表3 微生物指标</w:t>
      </w:r>
    </w:p>
    <w:tbl>
      <w:tblPr>
        <w:tblStyle w:val="2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571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指标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菌落总数，CFU/g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  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30000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霉菌和酵母，CFU/g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大肠菌群，MPN/g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  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0.92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4789.3 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沙门氏菌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         </w:t>
            </w:r>
          </w:p>
        </w:tc>
        <w:tc>
          <w:tcPr>
            <w:tcW w:w="15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0/25g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4789.4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金黄色葡萄球菌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≤                  </w:t>
            </w:r>
          </w:p>
        </w:tc>
        <w:tc>
          <w:tcPr>
            <w:tcW w:w="15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0/25g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4789.10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【剂型】粉剂。产品生产工艺按照现行保健食品备案产品要求，粉剂产品采用粉碎、混合、包装等物理工序，不得以水解等方式改变原料目录的物质基础。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7661"/>
    <w:rsid w:val="0AA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网格型1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2021-12-20T02:43:00Z</dcterms:created>
  <dc:creator>王丹</dc:creator>
  <cp:lastModifiedBy>王丹</cp:lastModifiedBy>
  <dcterms:modified xsi:type="dcterms:W3CDTF">2021-12-20T02:43:55Z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