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val="0"/>
        <w:adjustRightInd/>
        <w:snapToGrid w:val="0"/>
        <w:spacing w:before="0" w:after="0" w:line="240" w:lineRule="auto"/>
        <w:ind w:firstLine="0" w:firstLineChars="0"/>
        <w:rPr>
          <w:rFonts w:hint="default" w:ascii="Times New Roman" w:hAnsi="Times New Roman" w:eastAsia="方正小标宋简体" w:cs="Times New Roman"/>
          <w:b w:val="0"/>
          <w:bCs/>
          <w:kern w:val="2"/>
          <w:sz w:val="44"/>
          <w:szCs w:val="32"/>
          <w:lang w:eastAsia="zh-CN"/>
        </w:rPr>
      </w:pPr>
      <w:r>
        <w:rPr>
          <w:rFonts w:hint="default" w:ascii="Times New Roman" w:hAnsi="Times New Roman" w:eastAsia="方正小标宋简体" w:cs="Times New Roman"/>
          <w:b w:val="0"/>
          <w:bCs/>
          <w:kern w:val="2"/>
          <w:sz w:val="44"/>
          <w:szCs w:val="32"/>
          <w:lang w:eastAsia="zh-CN"/>
        </w:rPr>
        <w:t>关于SK海力士株式会社收购英特尔公司</w:t>
      </w:r>
    </w:p>
    <w:p>
      <w:pPr>
        <w:pStyle w:val="25"/>
        <w:widowControl w:val="0"/>
        <w:adjustRightInd/>
        <w:snapToGrid w:val="0"/>
        <w:spacing w:before="0" w:after="0" w:line="240" w:lineRule="auto"/>
        <w:ind w:firstLine="0" w:firstLineChars="0"/>
        <w:rPr>
          <w:rFonts w:hint="default" w:ascii="Times New Roman" w:hAnsi="Times New Roman" w:eastAsia="方正小标宋简体" w:cs="Times New Roman"/>
          <w:b w:val="0"/>
          <w:bCs/>
          <w:kern w:val="2"/>
          <w:sz w:val="44"/>
          <w:szCs w:val="32"/>
          <w:lang w:eastAsia="zh-CN"/>
        </w:rPr>
      </w:pPr>
      <w:r>
        <w:rPr>
          <w:rFonts w:hint="default" w:ascii="Times New Roman" w:hAnsi="Times New Roman" w:eastAsia="方正小标宋简体" w:cs="Times New Roman"/>
          <w:b w:val="0"/>
          <w:bCs/>
          <w:kern w:val="2"/>
          <w:sz w:val="44"/>
          <w:szCs w:val="32"/>
          <w:lang w:eastAsia="zh-CN"/>
        </w:rPr>
        <w:t>部分业务案的附加限制性条件承诺方案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FangSong_GB2312" w:cs="Times New Roman"/>
          <w:bCs/>
          <w:kern w:val="2"/>
          <w:sz w:val="32"/>
        </w:rPr>
      </w:pPr>
      <w:r>
        <w:rPr>
          <w:rFonts w:hint="default" w:ascii="Times New Roman" w:hAnsi="Times New Roman" w:eastAsia="FangSong_GB2312" w:cs="Times New Roman"/>
          <w:bCs/>
          <w:kern w:val="2"/>
          <w:sz w:val="32"/>
        </w:rPr>
        <w:t>2021年12月7日</w:t>
      </w:r>
    </w:p>
    <w:p>
      <w:pPr>
        <w:widowControl w:val="0"/>
        <w:spacing w:line="360" w:lineRule="auto"/>
        <w:ind w:firstLine="640" w:firstLineChars="200"/>
        <w:rPr>
          <w:rFonts w:hint="default" w:ascii="Times New Roman" w:hAnsi="Times New Roman" w:eastAsia="FangSong_GB2312" w:cs="Times New Roman"/>
          <w:kern w:val="2"/>
          <w:sz w:val="32"/>
          <w:szCs w:val="32"/>
        </w:rPr>
      </w:pPr>
      <w:r>
        <w:rPr>
          <w:rFonts w:hint="default" w:ascii="Times New Roman" w:hAnsi="Times New Roman" w:eastAsia="FangSong_GB2312" w:cs="Times New Roman"/>
          <w:kern w:val="2"/>
          <w:sz w:val="32"/>
          <w:szCs w:val="32"/>
        </w:rPr>
        <w:t>根据《中华人民共和国反垄断法》、《经营者集中审查暂行规定》及其他相关法规和规定，SK海力士株式会社（以下简称SK海力士）就SK海力士收购英特尔公司部分业务（以下简称目标业务）案谨在此向国家市场监督管理总局（以下简称市场监管总局）提交以下附加限制性条件的承诺方案（以下简称承诺方案）。</w:t>
      </w:r>
    </w:p>
    <w:p>
      <w:pPr>
        <w:spacing w:line="360" w:lineRule="auto"/>
        <w:jc w:val="center"/>
        <w:rPr>
          <w:rFonts w:hint="default" w:ascii="Times New Roman" w:hAnsi="Times New Roman" w:eastAsia="SimHei" w:cs="Times New Roman"/>
          <w:bCs/>
          <w:kern w:val="2"/>
          <w:sz w:val="32"/>
          <w:szCs w:val="32"/>
          <w:lang w:val="en-US"/>
        </w:rPr>
      </w:pPr>
    </w:p>
    <w:p>
      <w:pPr>
        <w:spacing w:line="360" w:lineRule="auto"/>
        <w:jc w:val="center"/>
        <w:rPr>
          <w:rFonts w:hint="default" w:ascii="Times New Roman" w:hAnsi="Times New Roman" w:eastAsia="SimHei" w:cs="Times New Roman"/>
          <w:bCs/>
          <w:kern w:val="2"/>
          <w:sz w:val="32"/>
          <w:szCs w:val="32"/>
          <w:lang w:val="en-US"/>
        </w:rPr>
      </w:pPr>
      <w:r>
        <w:rPr>
          <w:rFonts w:hint="default" w:ascii="Times New Roman" w:hAnsi="Times New Roman" w:eastAsia="SimHei" w:cs="Times New Roman"/>
          <w:bCs/>
          <w:kern w:val="2"/>
          <w:sz w:val="32"/>
          <w:szCs w:val="32"/>
          <w:lang w:val="en-US"/>
        </w:rPr>
        <w:t>第一部分 定义</w:t>
      </w:r>
    </w:p>
    <w:p>
      <w:pPr>
        <w:spacing w:line="360" w:lineRule="auto"/>
        <w:jc w:val="center"/>
        <w:rPr>
          <w:rFonts w:hint="default" w:ascii="Times New Roman" w:hAnsi="Times New Roman" w:eastAsia="SimHei" w:cs="Times New Roman"/>
          <w:bCs/>
          <w:kern w:val="2"/>
          <w:sz w:val="32"/>
          <w:szCs w:val="32"/>
          <w:lang w:val="en-US"/>
        </w:rPr>
      </w:pP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kern w:val="2"/>
          <w:sz w:val="32"/>
          <w:szCs w:val="32"/>
          <w:lang w:eastAsia="zh-CN"/>
        </w:rPr>
        <w:t>就本承诺方案而言，以下术语定义如下：</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SK海力士</w:t>
      </w:r>
      <w:r>
        <w:rPr>
          <w:rFonts w:hint="default" w:ascii="Times New Roman" w:hAnsi="Times New Roman" w:eastAsia="FangSong_GB2312" w:cs="Times New Roman"/>
          <w:kern w:val="2"/>
          <w:sz w:val="32"/>
          <w:szCs w:val="32"/>
          <w:lang w:eastAsia="zh-CN"/>
        </w:rPr>
        <w:t>：指SK海力士株式会社，一家根据韩国法律正当成立并存续的股份有限公司，总部位于韩国京畿道利川市夫钵邑京忠大路2091。</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英特尔</w:t>
      </w:r>
      <w:r>
        <w:rPr>
          <w:rFonts w:hint="default" w:ascii="Times New Roman" w:hAnsi="Times New Roman" w:eastAsia="FangSong_GB2312" w:cs="Times New Roman"/>
          <w:kern w:val="2"/>
          <w:sz w:val="32"/>
          <w:szCs w:val="32"/>
          <w:lang w:eastAsia="zh-CN"/>
        </w:rPr>
        <w:t>：指英特尔公司，一家根据美国特拉华州法律正当成立并存续的公司，总部位于美国加利福尼亚州圣克拉拉使命学院大道2200号，邮编：95054-1549。</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目标业务</w:t>
      </w:r>
      <w:r>
        <w:rPr>
          <w:rFonts w:hint="default" w:ascii="Times New Roman" w:hAnsi="Times New Roman" w:eastAsia="FangSong_GB2312" w:cs="Times New Roman"/>
          <w:kern w:val="2"/>
          <w:sz w:val="32"/>
          <w:szCs w:val="32"/>
          <w:lang w:eastAsia="zh-CN"/>
        </w:rPr>
        <w:t>：指英特尔在本次交易首次交割前的NAND和固态硬盘业务。</w:t>
      </w:r>
    </w:p>
    <w:p>
      <w:pPr>
        <w:pStyle w:val="13"/>
        <w:widowControl w:val="0"/>
        <w:adjustRightInd/>
        <w:spacing w:line="360" w:lineRule="auto"/>
        <w:ind w:firstLine="640"/>
        <w:jc w:val="both"/>
        <w:rPr>
          <w:rFonts w:hint="default" w:ascii="Times New Roman" w:hAnsi="Times New Roman" w:eastAsia="FangSong_GB2312" w:cs="Times New Roman"/>
          <w:b/>
          <w:kern w:val="2"/>
          <w:sz w:val="32"/>
          <w:szCs w:val="32"/>
          <w:lang w:eastAsia="zh-CN"/>
        </w:rPr>
      </w:pPr>
      <w:r>
        <w:rPr>
          <w:rFonts w:hint="default" w:ascii="Times New Roman" w:hAnsi="Times New Roman" w:eastAsia="FangSong_GB2312" w:cs="Times New Roman"/>
          <w:b/>
          <w:kern w:val="2"/>
          <w:sz w:val="32"/>
          <w:szCs w:val="32"/>
          <w:lang w:eastAsia="zh-CN"/>
        </w:rPr>
        <w:t>交易双方：</w:t>
      </w:r>
      <w:r>
        <w:rPr>
          <w:rFonts w:hint="default" w:ascii="Times New Roman" w:hAnsi="Times New Roman" w:eastAsia="FangSong_GB2312" w:cs="Times New Roman"/>
          <w:kern w:val="2"/>
          <w:sz w:val="32"/>
          <w:szCs w:val="32"/>
          <w:lang w:eastAsia="zh-CN"/>
        </w:rPr>
        <w:t>指SK海力士和目标业务。</w:t>
      </w:r>
    </w:p>
    <w:p>
      <w:pPr>
        <w:pStyle w:val="13"/>
        <w:widowControl w:val="0"/>
        <w:adjustRightInd/>
        <w:spacing w:line="360" w:lineRule="auto"/>
        <w:ind w:firstLine="640"/>
        <w:jc w:val="both"/>
        <w:rPr>
          <w:rFonts w:hint="default" w:ascii="Times New Roman" w:hAnsi="Times New Roman" w:eastAsia="FangSong_GB2312" w:cs="Times New Roman"/>
          <w:b/>
          <w:kern w:val="2"/>
          <w:sz w:val="32"/>
          <w:szCs w:val="32"/>
          <w:lang w:eastAsia="zh-CN"/>
        </w:rPr>
      </w:pPr>
      <w:r>
        <w:rPr>
          <w:rFonts w:hint="default" w:ascii="Times New Roman" w:hAnsi="Times New Roman" w:eastAsia="FangSong_GB2312" w:cs="Times New Roman"/>
          <w:b/>
          <w:kern w:val="2"/>
          <w:sz w:val="32"/>
          <w:szCs w:val="32"/>
          <w:lang w:eastAsia="zh-CN"/>
        </w:rPr>
        <w:t>关联企业：</w:t>
      </w:r>
      <w:r>
        <w:rPr>
          <w:rFonts w:hint="default" w:ascii="Times New Roman" w:hAnsi="Times New Roman" w:eastAsia="FangSong_GB2312" w:cs="Times New Roman"/>
          <w:kern w:val="2"/>
          <w:sz w:val="32"/>
          <w:szCs w:val="32"/>
          <w:lang w:eastAsia="zh-CN"/>
        </w:rPr>
        <w:t>任何拥有或控制交易一方的企业或其他法人实体、或由交易一方拥有或控制、或与交易一方被共同直接或间接控制超过50%表决权或股权的企业，或能够通过股权、合同或其他方式对企业的管理和政策施加影响的企业或其他法人实体。</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集中后实体</w:t>
      </w:r>
      <w:r>
        <w:rPr>
          <w:rFonts w:hint="default" w:ascii="Times New Roman" w:hAnsi="Times New Roman" w:eastAsia="FangSong_GB2312" w:cs="Times New Roman"/>
          <w:kern w:val="2"/>
          <w:sz w:val="32"/>
          <w:szCs w:val="32"/>
          <w:lang w:eastAsia="zh-CN"/>
        </w:rPr>
        <w:t>：指本次交易完成后的SK海力士及其关联企业。</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企业级固态硬盘</w:t>
      </w:r>
      <w:r>
        <w:rPr>
          <w:rFonts w:hint="default" w:ascii="Times New Roman" w:hAnsi="Times New Roman" w:eastAsia="FangSong_GB2312" w:cs="Times New Roman"/>
          <w:kern w:val="2"/>
          <w:sz w:val="32"/>
          <w:szCs w:val="32"/>
          <w:lang w:eastAsia="zh-CN"/>
        </w:rPr>
        <w:t>：指用于企业级存储的固态硬盘。企业级固态硬盘产品长期存储数据，主要由用于企业级的闪存、控制器、软件/固件、接口组成，有时也包括其他组件。</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PCIe企业级固态硬盘产品</w:t>
      </w:r>
      <w:r>
        <w:rPr>
          <w:rFonts w:hint="default" w:ascii="Times New Roman" w:hAnsi="Times New Roman" w:eastAsia="FangSong_GB2312" w:cs="Times New Roman"/>
          <w:kern w:val="2"/>
          <w:sz w:val="32"/>
          <w:szCs w:val="32"/>
          <w:lang w:eastAsia="zh-CN"/>
        </w:rPr>
        <w:t>：使用PCIe接口的企业级固态硬盘产品。</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SATA企业级固态硬盘产品</w:t>
      </w:r>
      <w:r>
        <w:rPr>
          <w:rFonts w:hint="default" w:ascii="Times New Roman" w:hAnsi="Times New Roman" w:eastAsia="FangSong_GB2312" w:cs="Times New Roman"/>
          <w:kern w:val="2"/>
          <w:sz w:val="32"/>
          <w:szCs w:val="32"/>
          <w:lang w:eastAsia="zh-CN"/>
        </w:rPr>
        <w:t>：使用SATA接口的企业级固态硬盘产品。</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NAND闪存</w:t>
      </w:r>
      <w:r>
        <w:rPr>
          <w:rFonts w:hint="default" w:ascii="Times New Roman" w:hAnsi="Times New Roman" w:eastAsia="FangSong_GB2312" w:cs="Times New Roman"/>
          <w:kern w:val="2"/>
          <w:sz w:val="32"/>
          <w:szCs w:val="32"/>
          <w:lang w:eastAsia="zh-CN"/>
        </w:rPr>
        <w:t>：用来存储数字数据的非易失性存储器技术，是固态硬盘的原材料。</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现有客户合同</w:t>
      </w:r>
      <w:r>
        <w:rPr>
          <w:rFonts w:hint="default" w:ascii="Times New Roman" w:hAnsi="Times New Roman" w:eastAsia="FangSong_GB2312" w:cs="Times New Roman"/>
          <w:kern w:val="2"/>
          <w:sz w:val="32"/>
          <w:szCs w:val="32"/>
          <w:lang w:eastAsia="zh-CN"/>
        </w:rPr>
        <w:t>：在做出决定时，目标业务和其在本次交易首次交割之前在中国境内市场的客户之间，以及SK海力士和其在本次交易首次交割之前在中国境内市场的客户之间存在的有效、具有法律约束力的合同或谅解备忘录。</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首次交割</w:t>
      </w:r>
      <w:r>
        <w:rPr>
          <w:rFonts w:hint="default" w:ascii="Times New Roman" w:hAnsi="Times New Roman" w:eastAsia="FangSong_GB2312" w:cs="Times New Roman"/>
          <w:kern w:val="2"/>
          <w:sz w:val="32"/>
          <w:szCs w:val="32"/>
          <w:lang w:eastAsia="zh-CN"/>
        </w:rPr>
        <w:t>：指英特尔与SK海力士于2020年10月19日签订的主购买协议中定义的首次交割。</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监督受托人</w:t>
      </w:r>
      <w:r>
        <w:rPr>
          <w:rFonts w:hint="default" w:ascii="Times New Roman" w:hAnsi="Times New Roman" w:eastAsia="FangSong_GB2312" w:cs="Times New Roman"/>
          <w:kern w:val="2"/>
          <w:sz w:val="32"/>
          <w:szCs w:val="32"/>
          <w:lang w:eastAsia="zh-CN"/>
        </w:rPr>
        <w:t>：指符合《经营者集中审查暂行规定》第三十六条的规定，由交易双方和集中后实体委托并经市场监管总局评估确定，负责对交易双方或集中后实体实施限制性条件进行监督并向市场监管总局报告的自然人、法人或其他组织。</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决定</w:t>
      </w:r>
      <w:r>
        <w:rPr>
          <w:rFonts w:hint="default" w:ascii="Times New Roman" w:hAnsi="Times New Roman" w:eastAsia="FangSong_GB2312" w:cs="Times New Roman"/>
          <w:kern w:val="2"/>
          <w:sz w:val="32"/>
          <w:szCs w:val="32"/>
          <w:lang w:eastAsia="zh-CN"/>
        </w:rPr>
        <w:t>：市场监管总局附加限制性条件批准本次交易的决定。</w:t>
      </w:r>
    </w:p>
    <w:p>
      <w:pPr>
        <w:pStyle w:val="13"/>
        <w:widowControl w:val="0"/>
        <w:adjustRightInd/>
        <w:spacing w:line="360" w:lineRule="auto"/>
        <w:ind w:firstLine="640"/>
        <w:jc w:val="both"/>
        <w:rPr>
          <w:rFonts w:hint="default" w:ascii="Times New Roman" w:hAnsi="Times New Roman" w:eastAsia="FangSong_GB2312" w:cs="Times New Roman"/>
          <w:kern w:val="2"/>
          <w:sz w:val="32"/>
          <w:szCs w:val="32"/>
          <w:lang w:eastAsia="zh-CN"/>
        </w:rPr>
      </w:pPr>
      <w:r>
        <w:rPr>
          <w:rFonts w:hint="default" w:ascii="Times New Roman" w:hAnsi="Times New Roman" w:eastAsia="FangSong_GB2312" w:cs="Times New Roman"/>
          <w:b/>
          <w:kern w:val="2"/>
          <w:sz w:val="32"/>
          <w:szCs w:val="32"/>
          <w:lang w:eastAsia="zh-CN"/>
        </w:rPr>
        <w:t>生效日</w:t>
      </w:r>
      <w:r>
        <w:rPr>
          <w:rFonts w:hint="default" w:ascii="Times New Roman" w:hAnsi="Times New Roman" w:eastAsia="FangSong_GB2312" w:cs="Times New Roman"/>
          <w:kern w:val="2"/>
          <w:sz w:val="32"/>
          <w:szCs w:val="32"/>
          <w:lang w:eastAsia="zh-CN"/>
        </w:rPr>
        <w:t>：市场监管总局审查决定生效的日期。</w:t>
      </w:r>
    </w:p>
    <w:p>
      <w:pPr>
        <w:spacing w:line="360" w:lineRule="auto"/>
        <w:jc w:val="center"/>
        <w:rPr>
          <w:rFonts w:hint="default" w:ascii="Times New Roman" w:hAnsi="Times New Roman" w:eastAsia="SimHei" w:cs="Times New Roman"/>
          <w:bCs/>
          <w:kern w:val="2"/>
          <w:sz w:val="32"/>
          <w:szCs w:val="32"/>
          <w:lang w:val="en-US"/>
        </w:rPr>
      </w:pPr>
    </w:p>
    <w:p>
      <w:pPr>
        <w:spacing w:line="360" w:lineRule="auto"/>
        <w:jc w:val="center"/>
        <w:rPr>
          <w:rFonts w:hint="default" w:ascii="Times New Roman" w:hAnsi="Times New Roman" w:eastAsia="SimHei" w:cs="Times New Roman"/>
          <w:bCs/>
          <w:kern w:val="2"/>
          <w:sz w:val="32"/>
          <w:szCs w:val="32"/>
          <w:lang w:val="en-US"/>
        </w:rPr>
      </w:pPr>
      <w:r>
        <w:rPr>
          <w:rFonts w:hint="default" w:ascii="Times New Roman" w:hAnsi="Times New Roman" w:eastAsia="SimHei" w:cs="Times New Roman"/>
          <w:bCs/>
          <w:kern w:val="2"/>
          <w:sz w:val="32"/>
          <w:szCs w:val="32"/>
          <w:lang w:val="en-US"/>
        </w:rPr>
        <w:t>第二部分 承诺内容</w:t>
      </w:r>
    </w:p>
    <w:p>
      <w:pPr>
        <w:spacing w:line="360" w:lineRule="auto"/>
        <w:jc w:val="center"/>
        <w:rPr>
          <w:rFonts w:hint="default" w:ascii="Times New Roman" w:hAnsi="Times New Roman" w:eastAsia="SimHei" w:cs="Times New Roman"/>
          <w:bCs/>
          <w:kern w:val="2"/>
          <w:sz w:val="32"/>
          <w:szCs w:val="32"/>
          <w:lang w:val="en-US"/>
        </w:rPr>
      </w:pPr>
    </w:p>
    <w:p>
      <w:pPr>
        <w:pStyle w:val="13"/>
        <w:numPr>
          <w:ilvl w:val="0"/>
          <w:numId w:val="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承诺，根据《反垄断法》的规定，不得以不合理的价格向中国境内市场供应PCIe企业级固态硬盘产品和SATA企业级固态硬盘产品。具体而言，向中国境内市场销售的PCIe企业级固态硬盘产品和SATA企业级固态硬盘产品的价格</w:t>
      </w:r>
      <w:r>
        <w:rPr>
          <w:rFonts w:hint="eastAsia" w:eastAsia="FangSong_GB2312" w:cs="Times New Roman"/>
          <w:sz w:val="32"/>
          <w:szCs w:val="32"/>
          <w:lang w:val="en-US" w:eastAsia="zh-CN"/>
        </w:rPr>
        <w:t>，</w:t>
      </w:r>
      <w:r>
        <w:rPr>
          <w:rFonts w:hint="default" w:ascii="Times New Roman" w:hAnsi="Times New Roman" w:eastAsia="仿宋_GB2312" w:cs="Times New Roman"/>
          <w:sz w:val="32"/>
          <w:szCs w:val="32"/>
        </w:rPr>
        <w:t>在交易条款相当的情况下，不得高于其在生效日前24个月内的平均价格。</w:t>
      </w:r>
    </w:p>
    <w:p>
      <w:pPr>
        <w:pStyle w:val="13"/>
        <w:numPr>
          <w:ilvl w:val="0"/>
          <w:numId w:val="2"/>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“交易条款相当”的衡量因素包括需求量、产品特性、存储密度、物理尺寸、物料号、接口、产品代际及通道数量。</w:t>
      </w:r>
    </w:p>
    <w:p>
      <w:pPr>
        <w:pStyle w:val="13"/>
        <w:numPr>
          <w:ilvl w:val="0"/>
          <w:numId w:val="2"/>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生效日前24个月内的平均价格”将根据交易双方和集中后实体2020年、2021年的销售数据计算得出的向中国境内市场在交易条款相当的情况下销售的PCIe企业级固态硬盘产品和SATA企业级固态硬盘产品的平均单位价格（每千兆字节）计算。</w:t>
      </w:r>
    </w:p>
    <w:p>
      <w:pPr>
        <w:pStyle w:val="13"/>
        <w:numPr>
          <w:ilvl w:val="0"/>
          <w:numId w:val="2"/>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kern w:val="2"/>
          <w:sz w:val="32"/>
          <w:lang w:eastAsia="zh-CN"/>
        </w:rPr>
        <w:t>交易双方及集中后实体可根据以下因素对新合同的价格进行公平合理的上调：通货膨胀；和/或原材料价格的上涨</w:t>
      </w:r>
      <w:r>
        <w:rPr>
          <w:rFonts w:hint="default" w:ascii="Times New Roman" w:hAnsi="Times New Roman" w:eastAsia="FangSong_GB2312" w:cs="Times New Roman"/>
          <w:sz w:val="32"/>
          <w:szCs w:val="32"/>
          <w:lang w:val="en-US" w:eastAsia="zh-CN"/>
        </w:rPr>
        <w:t>。</w:t>
      </w:r>
    </w:p>
    <w:p>
      <w:pPr>
        <w:pStyle w:val="13"/>
        <w:numPr>
          <w:ilvl w:val="0"/>
          <w:numId w:val="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交易双方和集中后实体承诺，根据《反垄断法》的规定，将在生效日起5年内</w:t>
      </w:r>
      <w:r>
        <w:rPr>
          <w:rFonts w:hint="eastAsia" w:eastAsia="FangSong_GB2312" w:cs="Times New Roman"/>
          <w:sz w:val="32"/>
          <w:szCs w:val="32"/>
          <w:lang w:val="en-US" w:eastAsia="zh-CN"/>
        </w:rPr>
        <w:t>持续</w:t>
      </w:r>
      <w:r>
        <w:rPr>
          <w:rFonts w:hint="default" w:ascii="Times New Roman" w:hAnsi="Times New Roman" w:eastAsia="FangSong_GB2312" w:cs="Times New Roman"/>
          <w:sz w:val="32"/>
          <w:szCs w:val="32"/>
          <w:lang w:val="en-US" w:eastAsia="zh-CN"/>
        </w:rPr>
        <w:t>扩大PCIe企业级固态硬盘产品和SATA企业级固态硬盘产品的产量。</w:t>
      </w:r>
    </w:p>
    <w:p>
      <w:pPr>
        <w:pStyle w:val="13"/>
        <w:numPr>
          <w:ilvl w:val="0"/>
          <w:numId w:val="0"/>
        </w:numPr>
        <w:spacing w:line="360" w:lineRule="auto"/>
        <w:ind w:leftChars="200"/>
        <w:jc w:val="both"/>
        <w:rPr>
          <w:rFonts w:hint="default" w:ascii="Times New Roman" w:hAnsi="Times New Roman" w:eastAsia="FangSong_GB2312" w:cs="Times New Roman"/>
          <w:sz w:val="32"/>
          <w:szCs w:val="32"/>
          <w:lang w:val="en-US" w:eastAsia="zh-CN"/>
        </w:rPr>
      </w:pPr>
      <w:r>
        <w:rPr>
          <w:rFonts w:hint="eastAsia" w:eastAsia="仿宋_GB2312" w:cs="Times New Roman"/>
          <w:color w:val="000000"/>
          <w:sz w:val="32"/>
          <w:szCs w:val="32"/>
          <w:lang w:val="en-US" w:eastAsia="zh-CN"/>
        </w:rPr>
        <w:t>【保密信息】</w:t>
      </w:r>
    </w:p>
    <w:p>
      <w:pPr>
        <w:pStyle w:val="13"/>
        <w:numPr>
          <w:ilvl w:val="0"/>
          <w:numId w:val="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交易双方和集中后实体应依据公平、合理、无歧视原则向中国境内市场继续供应所有产品，包括：</w:t>
      </w:r>
    </w:p>
    <w:p>
      <w:pPr>
        <w:pStyle w:val="13"/>
        <w:numPr>
          <w:ilvl w:val="0"/>
          <w:numId w:val="3"/>
        </w:numPr>
        <w:spacing w:line="360" w:lineRule="auto"/>
        <w:ind w:firstLineChars="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依据现行商业条款，继续履行所有现有客户合同；</w:t>
      </w:r>
    </w:p>
    <w:p>
      <w:pPr>
        <w:pStyle w:val="13"/>
        <w:numPr>
          <w:ilvl w:val="0"/>
          <w:numId w:val="3"/>
        </w:numPr>
        <w:spacing w:line="360" w:lineRule="auto"/>
        <w:ind w:firstLineChars="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不得拒绝、限制或延迟向中国境内市场供应产品；</w:t>
      </w:r>
    </w:p>
    <w:p>
      <w:pPr>
        <w:pStyle w:val="13"/>
        <w:numPr>
          <w:ilvl w:val="0"/>
          <w:numId w:val="3"/>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不得降低向中国境内市场供应产品的质量或技术水平；</w:t>
      </w:r>
    </w:p>
    <w:p>
      <w:pPr>
        <w:pStyle w:val="13"/>
        <w:numPr>
          <w:ilvl w:val="0"/>
          <w:numId w:val="3"/>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不得降低向中国境内市场在交货期、售后服务和支持、软件更新、技术规范和用户手册方面的服务水平。</w:t>
      </w:r>
    </w:p>
    <w:p>
      <w:pPr>
        <w:pStyle w:val="13"/>
        <w:numPr>
          <w:ilvl w:val="0"/>
          <w:numId w:val="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交易双方和集中后实体承诺，根据《反垄断法》的规定：</w:t>
      </w:r>
    </w:p>
    <w:p>
      <w:pPr>
        <w:pStyle w:val="13"/>
        <w:numPr>
          <w:ilvl w:val="0"/>
          <w:numId w:val="4"/>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不得强制或者变相强制中国境内市场的客户从SK海力士或SK海力士控制的任何公司排他性地采购产品；</w:t>
      </w:r>
    </w:p>
    <w:p>
      <w:pPr>
        <w:pStyle w:val="13"/>
        <w:numPr>
          <w:ilvl w:val="0"/>
          <w:numId w:val="4"/>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除非中国境内市场的客户有特殊要求，不得将PCIe企业级固态硬盘产品与其他产品，SATA企业级固态硬盘产品与其他产品强制搭售或捆绑销售；不得阻碍中国境内市场的客户单独购买PCIe企业级固态硬盘产品或SATA企业级固态硬盘产品。</w:t>
      </w:r>
    </w:p>
    <w:p>
      <w:pPr>
        <w:pStyle w:val="13"/>
        <w:numPr>
          <w:ilvl w:val="0"/>
          <w:numId w:val="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交易双方和集中后实体承诺帮助一个第三方竞争者进入PCIe企业级固态硬盘</w:t>
      </w:r>
      <w:bookmarkStart w:id="0" w:name="_GoBack"/>
      <w:bookmarkEnd w:id="0"/>
      <w:r>
        <w:rPr>
          <w:rFonts w:hint="default" w:ascii="Times New Roman" w:hAnsi="Times New Roman" w:eastAsia="FangSong_GB2312" w:cs="Times New Roman"/>
          <w:sz w:val="32"/>
          <w:szCs w:val="32"/>
          <w:lang w:val="en-US" w:eastAsia="zh-CN"/>
        </w:rPr>
        <w:t>和SATA企业级固态硬盘市场，以加强中国境内市场的竞争。</w:t>
      </w:r>
    </w:p>
    <w:p>
      <w:pPr>
        <w:pStyle w:val="13"/>
        <w:numPr>
          <w:ilvl w:val="0"/>
          <w:numId w:val="0"/>
        </w:numPr>
        <w:spacing w:line="360" w:lineRule="auto"/>
        <w:ind w:leftChars="200"/>
        <w:jc w:val="both"/>
        <w:rPr>
          <w:rFonts w:hint="default" w:ascii="Times New Roman" w:hAnsi="Times New Roman" w:eastAsia="FangSong_GB2312" w:cs="Times New Roman"/>
          <w:sz w:val="32"/>
          <w:szCs w:val="32"/>
          <w:lang w:val="en-US" w:eastAsia="zh-CN"/>
        </w:rPr>
      </w:pPr>
      <w:r>
        <w:rPr>
          <w:rFonts w:hint="eastAsia" w:eastAsia="仿宋_GB2312" w:cs="Times New Roman"/>
          <w:color w:val="000000"/>
          <w:sz w:val="32"/>
          <w:szCs w:val="32"/>
          <w:lang w:val="en-US" w:eastAsia="zh-CN"/>
        </w:rPr>
        <w:t>【保密信息】</w:t>
      </w:r>
    </w:p>
    <w:p>
      <w:pPr>
        <w:pStyle w:val="13"/>
        <w:numPr>
          <w:ilvl w:val="0"/>
          <w:numId w:val="1"/>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应遵守《反垄断法》，且不得在销售价格、产量或销量方面与其在中国的主要竞争对手达成任何排除或限制竞争的书面或口头协议、决定或进行其他协同行为（包括默示协同）。具体而言，为了确保严格履行本承诺：</w:t>
      </w:r>
    </w:p>
    <w:p>
      <w:pPr>
        <w:pStyle w:val="13"/>
        <w:numPr>
          <w:ilvl w:val="0"/>
          <w:numId w:val="5"/>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交易双方和集中后实体将制定内部指南并组织正式培训，以使相关业务所涉及的目前和未来的员工严格遵守《反垄断法》并履行本承诺方案。</w:t>
      </w:r>
    </w:p>
    <w:p>
      <w:pPr>
        <w:pStyle w:val="13"/>
        <w:numPr>
          <w:ilvl w:val="0"/>
          <w:numId w:val="5"/>
        </w:numPr>
        <w:spacing w:line="360" w:lineRule="auto"/>
        <w:ind w:left="0" w:firstLine="425" w:firstLineChars="133"/>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交易双方和集中后实体将严格监督本承诺的履行和《反垄断法》合规情况。</w:t>
      </w:r>
    </w:p>
    <w:p>
      <w:pPr>
        <w:pStyle w:val="13"/>
        <w:spacing w:line="360" w:lineRule="auto"/>
        <w:ind w:left="420" w:firstLine="0" w:firstLineChars="0"/>
        <w:jc w:val="center"/>
        <w:rPr>
          <w:rFonts w:hint="default" w:ascii="Times New Roman" w:hAnsi="Times New Roman" w:eastAsia="仿宋" w:cs="Times New Roman"/>
          <w:b/>
          <w:sz w:val="32"/>
          <w:szCs w:val="32"/>
          <w:lang w:val="en-US" w:eastAsia="zh-CN"/>
        </w:rPr>
      </w:pPr>
    </w:p>
    <w:p>
      <w:pPr>
        <w:spacing w:line="360" w:lineRule="auto"/>
        <w:jc w:val="center"/>
        <w:rPr>
          <w:rFonts w:hint="default" w:ascii="Times New Roman" w:hAnsi="Times New Roman" w:eastAsia="SimHei" w:cs="Times New Roman"/>
          <w:bCs/>
          <w:kern w:val="2"/>
          <w:sz w:val="32"/>
          <w:szCs w:val="32"/>
          <w:lang w:val="en-US"/>
        </w:rPr>
      </w:pPr>
      <w:r>
        <w:rPr>
          <w:rFonts w:hint="default" w:ascii="Times New Roman" w:hAnsi="Times New Roman" w:eastAsia="SimHei" w:cs="Times New Roman"/>
          <w:bCs/>
          <w:kern w:val="2"/>
          <w:sz w:val="32"/>
          <w:szCs w:val="32"/>
          <w:lang w:val="en-US"/>
        </w:rPr>
        <w:t>第三部分 定期报告</w:t>
      </w:r>
    </w:p>
    <w:p>
      <w:pPr>
        <w:pStyle w:val="13"/>
        <w:spacing w:line="360" w:lineRule="auto"/>
        <w:ind w:left="420" w:firstLine="0" w:firstLineChars="0"/>
        <w:jc w:val="center"/>
        <w:rPr>
          <w:rFonts w:hint="default" w:ascii="Times New Roman" w:hAnsi="Times New Roman" w:eastAsia="仿宋" w:cs="Times New Roman"/>
          <w:b/>
          <w:sz w:val="32"/>
          <w:szCs w:val="32"/>
          <w:lang w:val="en-US" w:eastAsia="zh-CN"/>
        </w:rPr>
      </w:pPr>
    </w:p>
    <w:p>
      <w:pPr>
        <w:pStyle w:val="13"/>
        <w:numPr>
          <w:ilvl w:val="0"/>
          <w:numId w:val="6"/>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自生效日起，交易双方和集中后实体应每半年向市场监管总局报告本承诺方案的履行情况，直至本承诺方案的各项限制性条件终止。</w:t>
      </w:r>
    </w:p>
    <w:p>
      <w:pPr>
        <w:pStyle w:val="13"/>
        <w:numPr>
          <w:ilvl w:val="0"/>
          <w:numId w:val="6"/>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为履行本承诺方案，交易双方和集中后实体应制定履行方案并提交市场监管总局审查，并在市场监管总局批准后执行。</w:t>
      </w:r>
    </w:p>
    <w:p>
      <w:pPr>
        <w:spacing w:line="360" w:lineRule="auto"/>
        <w:jc w:val="center"/>
        <w:rPr>
          <w:rFonts w:hint="default" w:ascii="Times New Roman" w:hAnsi="Times New Roman" w:eastAsia="SimHei" w:cs="Times New Roman"/>
          <w:bCs/>
          <w:kern w:val="2"/>
          <w:sz w:val="32"/>
          <w:szCs w:val="32"/>
          <w:lang w:val="en-US"/>
        </w:rPr>
      </w:pPr>
    </w:p>
    <w:p>
      <w:pPr>
        <w:spacing w:line="360" w:lineRule="auto"/>
        <w:jc w:val="center"/>
        <w:rPr>
          <w:rFonts w:hint="default" w:ascii="Times New Roman" w:hAnsi="Times New Roman" w:eastAsia="SimHei" w:cs="Times New Roman"/>
          <w:bCs/>
          <w:kern w:val="2"/>
          <w:sz w:val="32"/>
          <w:szCs w:val="32"/>
          <w:lang w:val="en-US"/>
        </w:rPr>
      </w:pPr>
      <w:r>
        <w:rPr>
          <w:rFonts w:hint="default" w:ascii="Times New Roman" w:hAnsi="Times New Roman" w:eastAsia="SimHei" w:cs="Times New Roman"/>
          <w:bCs/>
          <w:kern w:val="2"/>
          <w:sz w:val="32"/>
          <w:szCs w:val="32"/>
          <w:lang w:val="en-US"/>
        </w:rPr>
        <w:t>第四部分 其他事项</w:t>
      </w:r>
    </w:p>
    <w:p>
      <w:pPr>
        <w:spacing w:line="360" w:lineRule="auto"/>
        <w:jc w:val="center"/>
        <w:rPr>
          <w:rFonts w:hint="default" w:ascii="Times New Roman" w:hAnsi="Times New Roman" w:eastAsia="SimHei" w:cs="Times New Roman"/>
          <w:bCs/>
          <w:kern w:val="2"/>
          <w:sz w:val="32"/>
          <w:szCs w:val="32"/>
          <w:lang w:val="en-US"/>
        </w:rPr>
      </w:pPr>
    </w:p>
    <w:p>
      <w:pPr>
        <w:pStyle w:val="13"/>
        <w:numPr>
          <w:ilvl w:val="0"/>
          <w:numId w:val="7"/>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交易双方和集中后实体将委托监督受托人，监督受托人应根据《经营者集中审查暂行规定》监督交易双方和集中后实体履行限制性条件。</w:t>
      </w:r>
    </w:p>
    <w:p>
      <w:pPr>
        <w:pStyle w:val="13"/>
        <w:numPr>
          <w:ilvl w:val="0"/>
          <w:numId w:val="7"/>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市场监管总局有权自行或者通过监督受托人监督检查</w:t>
      </w:r>
      <w:r>
        <w:rPr>
          <w:rFonts w:hint="eastAsia" w:eastAsia="FangSong_GB2312" w:cs="Times New Roman"/>
          <w:sz w:val="32"/>
          <w:szCs w:val="32"/>
          <w:lang w:val="en-US" w:eastAsia="zh-CN"/>
        </w:rPr>
        <w:t>交易双方</w:t>
      </w:r>
      <w:r>
        <w:rPr>
          <w:rFonts w:hint="default" w:ascii="Times New Roman" w:hAnsi="Times New Roman" w:eastAsia="FangSong_GB2312" w:cs="Times New Roman"/>
          <w:sz w:val="32"/>
          <w:szCs w:val="32"/>
          <w:lang w:val="en-US" w:eastAsia="zh-CN"/>
        </w:rPr>
        <w:t>和集中后实体履行上述限制性条件的情况。如违反任何限制性条件，市场监管总局可根据《反垄断法》的相关规定作出决定，交易双方和集中后实体应承担相应的法律责任。</w:t>
      </w:r>
    </w:p>
    <w:p>
      <w:pPr>
        <w:pStyle w:val="13"/>
        <w:numPr>
          <w:ilvl w:val="0"/>
          <w:numId w:val="7"/>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本承诺方案第二部分所列的所有限制性条件自生效日起五（5）年内有效。集中后实体可在承诺期届满后向市场监管总局提出解除</w:t>
      </w:r>
      <w:r>
        <w:rPr>
          <w:rFonts w:hint="eastAsia" w:eastAsia="FangSong_GB2312" w:cs="Times New Roman"/>
          <w:sz w:val="32"/>
          <w:szCs w:val="32"/>
          <w:lang w:val="en-US" w:eastAsia="zh-CN"/>
        </w:rPr>
        <w:t>限制性条件</w:t>
      </w:r>
      <w:r>
        <w:rPr>
          <w:rFonts w:hint="default" w:ascii="Times New Roman" w:hAnsi="Times New Roman" w:eastAsia="FangSong_GB2312" w:cs="Times New Roman"/>
          <w:sz w:val="32"/>
          <w:szCs w:val="32"/>
          <w:lang w:val="en-US" w:eastAsia="zh-CN"/>
        </w:rPr>
        <w:t>的申请。</w:t>
      </w:r>
    </w:p>
    <w:p>
      <w:pPr>
        <w:pStyle w:val="13"/>
        <w:numPr>
          <w:ilvl w:val="0"/>
          <w:numId w:val="7"/>
        </w:numPr>
        <w:spacing w:line="360" w:lineRule="auto"/>
        <w:ind w:left="0" w:firstLine="64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限制性条件自生效日起，如果相关市场的竞争状况发生重大改变，或交易双方和集中后实体发生重大变化时，可以向市场监管总局申请变更或解除限制性条件。</w:t>
      </w:r>
    </w:p>
    <w:p>
      <w:pPr>
        <w:spacing w:line="360" w:lineRule="auto"/>
        <w:jc w:val="center"/>
        <w:rPr>
          <w:rFonts w:hint="default" w:ascii="Times New Roman" w:hAnsi="Times New Roman" w:eastAsia="SimHei" w:cs="Times New Roman"/>
          <w:bCs/>
          <w:kern w:val="2"/>
          <w:sz w:val="32"/>
          <w:szCs w:val="32"/>
          <w:lang w:val="en-US"/>
        </w:rPr>
      </w:pPr>
    </w:p>
    <w:p>
      <w:pPr>
        <w:spacing w:line="360" w:lineRule="auto"/>
        <w:jc w:val="center"/>
        <w:rPr>
          <w:rFonts w:hint="default" w:ascii="Times New Roman" w:hAnsi="Times New Roman" w:eastAsia="SimHei" w:cs="Times New Roman"/>
          <w:bCs/>
          <w:kern w:val="2"/>
          <w:sz w:val="32"/>
          <w:szCs w:val="32"/>
          <w:lang w:val="en-US"/>
        </w:rPr>
      </w:pPr>
      <w:r>
        <w:rPr>
          <w:rFonts w:hint="default" w:ascii="Times New Roman" w:hAnsi="Times New Roman" w:eastAsia="SimHei" w:cs="Times New Roman"/>
          <w:bCs/>
          <w:kern w:val="2"/>
          <w:sz w:val="32"/>
          <w:szCs w:val="32"/>
          <w:lang w:val="en-US"/>
        </w:rPr>
        <w:t>第五部分 效力</w:t>
      </w:r>
    </w:p>
    <w:p>
      <w:pPr>
        <w:spacing w:line="360" w:lineRule="auto"/>
        <w:jc w:val="center"/>
        <w:rPr>
          <w:rFonts w:hint="default" w:ascii="Times New Roman" w:hAnsi="Times New Roman" w:eastAsia="SimHei" w:cs="Times New Roman"/>
          <w:bCs/>
          <w:kern w:val="2"/>
          <w:sz w:val="32"/>
          <w:szCs w:val="32"/>
          <w:lang w:val="en-US"/>
        </w:rPr>
      </w:pPr>
    </w:p>
    <w:p>
      <w:pPr>
        <w:pStyle w:val="13"/>
        <w:spacing w:line="360" w:lineRule="auto"/>
        <w:ind w:left="640" w:firstLine="0" w:firstLineChars="0"/>
        <w:jc w:val="both"/>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本限制性条件自生效日起生效。</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STZhongsong">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FangSong_GB2312">
    <w:panose1 w:val="02010609030101010101"/>
    <w:charset w:val="86"/>
    <w:family w:val="modern"/>
    <w:pitch w:val="default"/>
    <w:sig w:usb0="00000001" w:usb1="080E0000" w:usb2="00000000" w:usb3="00000000" w:csb0="00040000" w:csb1="00000000"/>
  </w:font>
  <w:font w:name="SimHei">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5585672"/>
      <w:docPartObj>
        <w:docPartGallery w:val="autotext"/>
      </w:docPartObj>
    </w:sdtPr>
    <w:sdtContent>
      <w:sdt>
        <w:sdtPr>
          <w:id w:val="-1705238520"/>
          <w:docPartObj>
            <w:docPartGallery w:val="autotext"/>
          </w:docPartObj>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770" w:firstLineChars="4300"/>
      <w:jc w:val="both"/>
      <w:rPr>
        <w:rFonts w:hint="eastAsia" w:ascii="仿宋" w:hAnsi="仿宋" w:eastAsia="仿宋" w:cs="Times New Roman"/>
        <w:b/>
        <w:lang w:val="en-US" w:eastAsia="zh-CN"/>
      </w:rPr>
    </w:pPr>
    <w:r>
      <w:rPr>
        <w:rFonts w:hint="eastAsia" w:ascii="仿宋" w:hAnsi="仿宋" w:eastAsia="仿宋" w:cs="Times New Roman"/>
        <w:b/>
        <w:lang w:val="en-US" w:eastAsia="zh-CN"/>
      </w:rPr>
      <w:t>公开版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9537C"/>
    <w:multiLevelType w:val="multilevel"/>
    <w:tmpl w:val="2A09537C"/>
    <w:lvl w:ilvl="0" w:tentative="0">
      <w:start w:val="1"/>
      <w:numFmt w:val="decimal"/>
      <w:lvlText w:val="（%1）"/>
      <w:lvlJc w:val="left"/>
      <w:pPr>
        <w:ind w:left="840" w:hanging="420"/>
      </w:pPr>
      <w:rPr>
        <w:rFonts w:hint="eastAsia"/>
        <w:sz w:val="32"/>
        <w:szCs w:val="32"/>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ABE667F"/>
    <w:multiLevelType w:val="multilevel"/>
    <w:tmpl w:val="2ABE667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3F672F"/>
    <w:multiLevelType w:val="multilevel"/>
    <w:tmpl w:val="3D3F67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2C68CF"/>
    <w:multiLevelType w:val="multilevel"/>
    <w:tmpl w:val="492C68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23E2B49"/>
    <w:multiLevelType w:val="multilevel"/>
    <w:tmpl w:val="623E2B49"/>
    <w:lvl w:ilvl="0" w:tentative="0">
      <w:start w:val="1"/>
      <w:numFmt w:val="decimal"/>
      <w:lvlText w:val="（%1）"/>
      <w:lvlJc w:val="left"/>
      <w:pPr>
        <w:ind w:left="6231" w:hanging="420"/>
      </w:pPr>
      <w:rPr>
        <w:rFonts w:hint="eastAsia"/>
        <w:sz w:val="32"/>
        <w:szCs w:val="32"/>
      </w:rPr>
    </w:lvl>
    <w:lvl w:ilvl="1" w:tentative="0">
      <w:start w:val="1"/>
      <w:numFmt w:val="lowerLetter"/>
      <w:lvlText w:val="%2)"/>
      <w:lvlJc w:val="left"/>
      <w:pPr>
        <w:ind w:left="6231" w:hanging="420"/>
      </w:pPr>
    </w:lvl>
    <w:lvl w:ilvl="2" w:tentative="0">
      <w:start w:val="1"/>
      <w:numFmt w:val="lowerRoman"/>
      <w:lvlText w:val="%3."/>
      <w:lvlJc w:val="right"/>
      <w:pPr>
        <w:ind w:left="6651" w:hanging="420"/>
      </w:pPr>
    </w:lvl>
    <w:lvl w:ilvl="3" w:tentative="0">
      <w:start w:val="1"/>
      <w:numFmt w:val="decimal"/>
      <w:lvlText w:val="%4."/>
      <w:lvlJc w:val="left"/>
      <w:pPr>
        <w:ind w:left="7071" w:hanging="420"/>
      </w:pPr>
    </w:lvl>
    <w:lvl w:ilvl="4" w:tentative="0">
      <w:start w:val="1"/>
      <w:numFmt w:val="lowerLetter"/>
      <w:lvlText w:val="%5)"/>
      <w:lvlJc w:val="left"/>
      <w:pPr>
        <w:ind w:left="7491" w:hanging="420"/>
      </w:pPr>
    </w:lvl>
    <w:lvl w:ilvl="5" w:tentative="0">
      <w:start w:val="1"/>
      <w:numFmt w:val="lowerRoman"/>
      <w:lvlText w:val="%6."/>
      <w:lvlJc w:val="right"/>
      <w:pPr>
        <w:ind w:left="7911" w:hanging="420"/>
      </w:pPr>
    </w:lvl>
    <w:lvl w:ilvl="6" w:tentative="0">
      <w:start w:val="1"/>
      <w:numFmt w:val="decimal"/>
      <w:lvlText w:val="%7."/>
      <w:lvlJc w:val="left"/>
      <w:pPr>
        <w:ind w:left="8331" w:hanging="420"/>
      </w:pPr>
    </w:lvl>
    <w:lvl w:ilvl="7" w:tentative="0">
      <w:start w:val="1"/>
      <w:numFmt w:val="lowerLetter"/>
      <w:lvlText w:val="%8)"/>
      <w:lvlJc w:val="left"/>
      <w:pPr>
        <w:ind w:left="8751" w:hanging="420"/>
      </w:pPr>
    </w:lvl>
    <w:lvl w:ilvl="8" w:tentative="0">
      <w:start w:val="1"/>
      <w:numFmt w:val="lowerRoman"/>
      <w:lvlText w:val="%9."/>
      <w:lvlJc w:val="right"/>
      <w:pPr>
        <w:ind w:left="9171" w:hanging="420"/>
      </w:pPr>
    </w:lvl>
  </w:abstractNum>
  <w:abstractNum w:abstractNumId="5">
    <w:nsid w:val="645C62D7"/>
    <w:multiLevelType w:val="multilevel"/>
    <w:tmpl w:val="645C62D7"/>
    <w:lvl w:ilvl="0" w:tentative="0">
      <w:start w:val="1"/>
      <w:numFmt w:val="decimal"/>
      <w:lvlText w:val="（%1）"/>
      <w:lvlJc w:val="left"/>
      <w:pPr>
        <w:ind w:left="3255" w:hanging="420"/>
      </w:pPr>
      <w:rPr>
        <w:rFonts w:hint="eastAsia"/>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9B586B"/>
    <w:multiLevelType w:val="multilevel"/>
    <w:tmpl w:val="7A9B586B"/>
    <w:lvl w:ilvl="0" w:tentative="0">
      <w:start w:val="1"/>
      <w:numFmt w:val="decimal"/>
      <w:lvlText w:val="（%1）"/>
      <w:lvlJc w:val="left"/>
      <w:pPr>
        <w:ind w:left="7650" w:hanging="420"/>
      </w:pPr>
      <w:rPr>
        <w:rFonts w:hint="eastAsia"/>
        <w:sz w:val="32"/>
        <w:szCs w:val="32"/>
      </w:rPr>
    </w:lvl>
    <w:lvl w:ilvl="1" w:tentative="0">
      <w:start w:val="1"/>
      <w:numFmt w:val="lowerLetter"/>
      <w:lvlText w:val="%2)"/>
      <w:lvlJc w:val="left"/>
      <w:pPr>
        <w:ind w:left="7360" w:hanging="420"/>
      </w:pPr>
    </w:lvl>
    <w:lvl w:ilvl="2" w:tentative="0">
      <w:start w:val="1"/>
      <w:numFmt w:val="lowerRoman"/>
      <w:lvlText w:val="%3."/>
      <w:lvlJc w:val="right"/>
      <w:pPr>
        <w:ind w:left="7780" w:hanging="420"/>
      </w:pPr>
    </w:lvl>
    <w:lvl w:ilvl="3" w:tentative="0">
      <w:start w:val="1"/>
      <w:numFmt w:val="decimal"/>
      <w:lvlText w:val="%4."/>
      <w:lvlJc w:val="left"/>
      <w:pPr>
        <w:ind w:left="8200" w:hanging="420"/>
      </w:pPr>
    </w:lvl>
    <w:lvl w:ilvl="4" w:tentative="0">
      <w:start w:val="1"/>
      <w:numFmt w:val="lowerLetter"/>
      <w:lvlText w:val="%5)"/>
      <w:lvlJc w:val="left"/>
      <w:pPr>
        <w:ind w:left="8620" w:hanging="420"/>
      </w:pPr>
    </w:lvl>
    <w:lvl w:ilvl="5" w:tentative="0">
      <w:start w:val="1"/>
      <w:numFmt w:val="lowerRoman"/>
      <w:lvlText w:val="%6."/>
      <w:lvlJc w:val="right"/>
      <w:pPr>
        <w:ind w:left="9040" w:hanging="420"/>
      </w:pPr>
    </w:lvl>
    <w:lvl w:ilvl="6" w:tentative="0">
      <w:start w:val="1"/>
      <w:numFmt w:val="decimal"/>
      <w:lvlText w:val="%7."/>
      <w:lvlJc w:val="left"/>
      <w:pPr>
        <w:ind w:left="9460" w:hanging="420"/>
      </w:pPr>
    </w:lvl>
    <w:lvl w:ilvl="7" w:tentative="0">
      <w:start w:val="1"/>
      <w:numFmt w:val="lowerLetter"/>
      <w:lvlText w:val="%8)"/>
      <w:lvlJc w:val="left"/>
      <w:pPr>
        <w:ind w:left="9880" w:hanging="420"/>
      </w:pPr>
    </w:lvl>
    <w:lvl w:ilvl="8" w:tentative="0">
      <w:start w:val="1"/>
      <w:numFmt w:val="lowerRoman"/>
      <w:lvlText w:val="%9."/>
      <w:lvlJc w:val="right"/>
      <w:pPr>
        <w:ind w:left="10300" w:hanging="42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Nzc0NTc3MjIzMDBV0lEKTi0uzszPAykwqwUA89USXSwAAAA="/>
  </w:docVars>
  <w:rsids>
    <w:rsidRoot w:val="00E520D0"/>
    <w:rsid w:val="000019E5"/>
    <w:rsid w:val="00002020"/>
    <w:rsid w:val="00007461"/>
    <w:rsid w:val="00010C34"/>
    <w:rsid w:val="000130B2"/>
    <w:rsid w:val="00016CC2"/>
    <w:rsid w:val="00020E9F"/>
    <w:rsid w:val="0002179D"/>
    <w:rsid w:val="00024F0B"/>
    <w:rsid w:val="000273B1"/>
    <w:rsid w:val="00027B78"/>
    <w:rsid w:val="000302FD"/>
    <w:rsid w:val="00032CDA"/>
    <w:rsid w:val="00032FFE"/>
    <w:rsid w:val="00035BC3"/>
    <w:rsid w:val="00036337"/>
    <w:rsid w:val="00037AFF"/>
    <w:rsid w:val="00037CA6"/>
    <w:rsid w:val="00037DFB"/>
    <w:rsid w:val="0004097E"/>
    <w:rsid w:val="00041218"/>
    <w:rsid w:val="00043373"/>
    <w:rsid w:val="0004393A"/>
    <w:rsid w:val="00047277"/>
    <w:rsid w:val="00052DE4"/>
    <w:rsid w:val="00053335"/>
    <w:rsid w:val="00054C58"/>
    <w:rsid w:val="0005677D"/>
    <w:rsid w:val="000576AC"/>
    <w:rsid w:val="00065927"/>
    <w:rsid w:val="0006689D"/>
    <w:rsid w:val="00070288"/>
    <w:rsid w:val="00071063"/>
    <w:rsid w:val="000721BC"/>
    <w:rsid w:val="00072819"/>
    <w:rsid w:val="00073B38"/>
    <w:rsid w:val="00076753"/>
    <w:rsid w:val="000772FD"/>
    <w:rsid w:val="00090DFB"/>
    <w:rsid w:val="000A0AB9"/>
    <w:rsid w:val="000A1692"/>
    <w:rsid w:val="000A28A4"/>
    <w:rsid w:val="000A48A3"/>
    <w:rsid w:val="000B1D36"/>
    <w:rsid w:val="000B3F1A"/>
    <w:rsid w:val="000B42D0"/>
    <w:rsid w:val="000B5153"/>
    <w:rsid w:val="000B66B5"/>
    <w:rsid w:val="000B72D2"/>
    <w:rsid w:val="000B76FC"/>
    <w:rsid w:val="000C020C"/>
    <w:rsid w:val="000C52F3"/>
    <w:rsid w:val="000C61F9"/>
    <w:rsid w:val="000C66B6"/>
    <w:rsid w:val="000C7E9D"/>
    <w:rsid w:val="000D2378"/>
    <w:rsid w:val="000D243F"/>
    <w:rsid w:val="000D4843"/>
    <w:rsid w:val="000D49F9"/>
    <w:rsid w:val="000D4DA2"/>
    <w:rsid w:val="000E25D7"/>
    <w:rsid w:val="000E3CC1"/>
    <w:rsid w:val="000E41D3"/>
    <w:rsid w:val="000E65B2"/>
    <w:rsid w:val="000F1729"/>
    <w:rsid w:val="000F4530"/>
    <w:rsid w:val="000F639D"/>
    <w:rsid w:val="00101DE0"/>
    <w:rsid w:val="00103640"/>
    <w:rsid w:val="0010384F"/>
    <w:rsid w:val="00104ABF"/>
    <w:rsid w:val="00110871"/>
    <w:rsid w:val="00113892"/>
    <w:rsid w:val="00113DE3"/>
    <w:rsid w:val="0011566B"/>
    <w:rsid w:val="00120326"/>
    <w:rsid w:val="0012175E"/>
    <w:rsid w:val="00124E9C"/>
    <w:rsid w:val="00125E72"/>
    <w:rsid w:val="00126A46"/>
    <w:rsid w:val="00130837"/>
    <w:rsid w:val="001311EE"/>
    <w:rsid w:val="00131857"/>
    <w:rsid w:val="001344B7"/>
    <w:rsid w:val="00134656"/>
    <w:rsid w:val="00141CCA"/>
    <w:rsid w:val="00142F85"/>
    <w:rsid w:val="001437AC"/>
    <w:rsid w:val="001507E8"/>
    <w:rsid w:val="00153880"/>
    <w:rsid w:val="0015493A"/>
    <w:rsid w:val="00154BFE"/>
    <w:rsid w:val="00154EDC"/>
    <w:rsid w:val="00156610"/>
    <w:rsid w:val="00166282"/>
    <w:rsid w:val="001707FC"/>
    <w:rsid w:val="001737AC"/>
    <w:rsid w:val="00180266"/>
    <w:rsid w:val="00186664"/>
    <w:rsid w:val="0019217C"/>
    <w:rsid w:val="0019267E"/>
    <w:rsid w:val="001933E1"/>
    <w:rsid w:val="00194B88"/>
    <w:rsid w:val="001950F2"/>
    <w:rsid w:val="001A0307"/>
    <w:rsid w:val="001A11C0"/>
    <w:rsid w:val="001A1466"/>
    <w:rsid w:val="001A36DD"/>
    <w:rsid w:val="001A3A69"/>
    <w:rsid w:val="001A4E54"/>
    <w:rsid w:val="001B1F65"/>
    <w:rsid w:val="001B2651"/>
    <w:rsid w:val="001B2F74"/>
    <w:rsid w:val="001B60F8"/>
    <w:rsid w:val="001B628F"/>
    <w:rsid w:val="001B6FA1"/>
    <w:rsid w:val="001C0222"/>
    <w:rsid w:val="001C3DDC"/>
    <w:rsid w:val="001C4F5D"/>
    <w:rsid w:val="001C6584"/>
    <w:rsid w:val="001D04EA"/>
    <w:rsid w:val="001D0588"/>
    <w:rsid w:val="001D0D78"/>
    <w:rsid w:val="001D0F47"/>
    <w:rsid w:val="001D3766"/>
    <w:rsid w:val="001D699F"/>
    <w:rsid w:val="001D7097"/>
    <w:rsid w:val="001D777F"/>
    <w:rsid w:val="001E5A6E"/>
    <w:rsid w:val="001E7804"/>
    <w:rsid w:val="001F13B1"/>
    <w:rsid w:val="001F4D48"/>
    <w:rsid w:val="001F6510"/>
    <w:rsid w:val="001F73F8"/>
    <w:rsid w:val="00200E46"/>
    <w:rsid w:val="00203567"/>
    <w:rsid w:val="00203979"/>
    <w:rsid w:val="00214483"/>
    <w:rsid w:val="00221FED"/>
    <w:rsid w:val="0022226D"/>
    <w:rsid w:val="002267D6"/>
    <w:rsid w:val="00226997"/>
    <w:rsid w:val="00226E0B"/>
    <w:rsid w:val="00232EFF"/>
    <w:rsid w:val="0024127E"/>
    <w:rsid w:val="00244158"/>
    <w:rsid w:val="0025051D"/>
    <w:rsid w:val="00254548"/>
    <w:rsid w:val="0025477B"/>
    <w:rsid w:val="0025646A"/>
    <w:rsid w:val="00256CEB"/>
    <w:rsid w:val="00256FBF"/>
    <w:rsid w:val="00262840"/>
    <w:rsid w:val="00263BAB"/>
    <w:rsid w:val="002640B3"/>
    <w:rsid w:val="00264583"/>
    <w:rsid w:val="002660F7"/>
    <w:rsid w:val="002721FA"/>
    <w:rsid w:val="002725E4"/>
    <w:rsid w:val="002768FB"/>
    <w:rsid w:val="00276AD5"/>
    <w:rsid w:val="00277EC5"/>
    <w:rsid w:val="00281B66"/>
    <w:rsid w:val="00281FBB"/>
    <w:rsid w:val="00282A74"/>
    <w:rsid w:val="002907BA"/>
    <w:rsid w:val="00293426"/>
    <w:rsid w:val="002A0985"/>
    <w:rsid w:val="002A1376"/>
    <w:rsid w:val="002A2046"/>
    <w:rsid w:val="002A5F7F"/>
    <w:rsid w:val="002B0CBF"/>
    <w:rsid w:val="002B3EFB"/>
    <w:rsid w:val="002B4787"/>
    <w:rsid w:val="002B5AE4"/>
    <w:rsid w:val="002B5E17"/>
    <w:rsid w:val="002B689D"/>
    <w:rsid w:val="002B692F"/>
    <w:rsid w:val="002C0B8D"/>
    <w:rsid w:val="002C372F"/>
    <w:rsid w:val="002C78E5"/>
    <w:rsid w:val="002D25E2"/>
    <w:rsid w:val="002D2790"/>
    <w:rsid w:val="002D3AC0"/>
    <w:rsid w:val="002D6581"/>
    <w:rsid w:val="002D67DA"/>
    <w:rsid w:val="002E3622"/>
    <w:rsid w:val="002F10B1"/>
    <w:rsid w:val="002F3281"/>
    <w:rsid w:val="002F6F03"/>
    <w:rsid w:val="003014D9"/>
    <w:rsid w:val="00301AF1"/>
    <w:rsid w:val="00302EFA"/>
    <w:rsid w:val="00304324"/>
    <w:rsid w:val="00305A33"/>
    <w:rsid w:val="00306306"/>
    <w:rsid w:val="00307656"/>
    <w:rsid w:val="00310E17"/>
    <w:rsid w:val="003115B5"/>
    <w:rsid w:val="00312A8B"/>
    <w:rsid w:val="00312E3E"/>
    <w:rsid w:val="003144EA"/>
    <w:rsid w:val="003200FC"/>
    <w:rsid w:val="00324D33"/>
    <w:rsid w:val="003259DA"/>
    <w:rsid w:val="00326B17"/>
    <w:rsid w:val="00326C90"/>
    <w:rsid w:val="0033100D"/>
    <w:rsid w:val="00331721"/>
    <w:rsid w:val="00331FF7"/>
    <w:rsid w:val="003359B6"/>
    <w:rsid w:val="0033637A"/>
    <w:rsid w:val="0034029E"/>
    <w:rsid w:val="003406DE"/>
    <w:rsid w:val="00341FC9"/>
    <w:rsid w:val="003462E0"/>
    <w:rsid w:val="00347187"/>
    <w:rsid w:val="00347260"/>
    <w:rsid w:val="00352799"/>
    <w:rsid w:val="00352A6B"/>
    <w:rsid w:val="00353DFB"/>
    <w:rsid w:val="00354779"/>
    <w:rsid w:val="00360A4C"/>
    <w:rsid w:val="003619AD"/>
    <w:rsid w:val="00361AA4"/>
    <w:rsid w:val="003624F0"/>
    <w:rsid w:val="00363CFE"/>
    <w:rsid w:val="00371997"/>
    <w:rsid w:val="00373376"/>
    <w:rsid w:val="003753B5"/>
    <w:rsid w:val="00375E25"/>
    <w:rsid w:val="003803C6"/>
    <w:rsid w:val="00384583"/>
    <w:rsid w:val="00384C30"/>
    <w:rsid w:val="00385BA2"/>
    <w:rsid w:val="0038656C"/>
    <w:rsid w:val="00386FB3"/>
    <w:rsid w:val="003912A2"/>
    <w:rsid w:val="0039459A"/>
    <w:rsid w:val="003A12D2"/>
    <w:rsid w:val="003A2B2F"/>
    <w:rsid w:val="003A3606"/>
    <w:rsid w:val="003A3D9F"/>
    <w:rsid w:val="003A69BA"/>
    <w:rsid w:val="003A7078"/>
    <w:rsid w:val="003A766D"/>
    <w:rsid w:val="003B1CCD"/>
    <w:rsid w:val="003B24F8"/>
    <w:rsid w:val="003B25E0"/>
    <w:rsid w:val="003B33ED"/>
    <w:rsid w:val="003B42BC"/>
    <w:rsid w:val="003C21BD"/>
    <w:rsid w:val="003C4176"/>
    <w:rsid w:val="003D1D73"/>
    <w:rsid w:val="003D3B23"/>
    <w:rsid w:val="003D71D8"/>
    <w:rsid w:val="003E23C1"/>
    <w:rsid w:val="003E2DA1"/>
    <w:rsid w:val="003E35D1"/>
    <w:rsid w:val="003E3F62"/>
    <w:rsid w:val="003E4812"/>
    <w:rsid w:val="003E5C11"/>
    <w:rsid w:val="003E7C8C"/>
    <w:rsid w:val="003E7CE2"/>
    <w:rsid w:val="003F0791"/>
    <w:rsid w:val="003F11F9"/>
    <w:rsid w:val="003F5D5F"/>
    <w:rsid w:val="003F68E2"/>
    <w:rsid w:val="004044FD"/>
    <w:rsid w:val="004103BD"/>
    <w:rsid w:val="00410E01"/>
    <w:rsid w:val="00412539"/>
    <w:rsid w:val="00414FB4"/>
    <w:rsid w:val="00420C9B"/>
    <w:rsid w:val="004221A6"/>
    <w:rsid w:val="004263A1"/>
    <w:rsid w:val="00426430"/>
    <w:rsid w:val="00426A85"/>
    <w:rsid w:val="00430F66"/>
    <w:rsid w:val="0043218D"/>
    <w:rsid w:val="00433F4F"/>
    <w:rsid w:val="00435A73"/>
    <w:rsid w:val="00435B41"/>
    <w:rsid w:val="00441E26"/>
    <w:rsid w:val="00444711"/>
    <w:rsid w:val="00450724"/>
    <w:rsid w:val="00450B32"/>
    <w:rsid w:val="00452F9A"/>
    <w:rsid w:val="00455063"/>
    <w:rsid w:val="00455AC1"/>
    <w:rsid w:val="00457658"/>
    <w:rsid w:val="0046166A"/>
    <w:rsid w:val="00462AD3"/>
    <w:rsid w:val="00462BCC"/>
    <w:rsid w:val="00464857"/>
    <w:rsid w:val="0046743D"/>
    <w:rsid w:val="004677E0"/>
    <w:rsid w:val="00472628"/>
    <w:rsid w:val="004740DD"/>
    <w:rsid w:val="004769D9"/>
    <w:rsid w:val="00482BD5"/>
    <w:rsid w:val="00482FF2"/>
    <w:rsid w:val="00484EFB"/>
    <w:rsid w:val="004867AE"/>
    <w:rsid w:val="00490DCA"/>
    <w:rsid w:val="004941E1"/>
    <w:rsid w:val="0049503C"/>
    <w:rsid w:val="00496588"/>
    <w:rsid w:val="00497138"/>
    <w:rsid w:val="004A061D"/>
    <w:rsid w:val="004A5619"/>
    <w:rsid w:val="004A76D2"/>
    <w:rsid w:val="004B0AE8"/>
    <w:rsid w:val="004B3829"/>
    <w:rsid w:val="004B528C"/>
    <w:rsid w:val="004B6195"/>
    <w:rsid w:val="004C01EE"/>
    <w:rsid w:val="004C7D76"/>
    <w:rsid w:val="004D05F3"/>
    <w:rsid w:val="004D1833"/>
    <w:rsid w:val="004D1CD9"/>
    <w:rsid w:val="004D323B"/>
    <w:rsid w:val="004D5842"/>
    <w:rsid w:val="004D6A99"/>
    <w:rsid w:val="004D770C"/>
    <w:rsid w:val="004D7A2C"/>
    <w:rsid w:val="004E0FF6"/>
    <w:rsid w:val="004E2A13"/>
    <w:rsid w:val="004E2B86"/>
    <w:rsid w:val="004E43D7"/>
    <w:rsid w:val="004E53F9"/>
    <w:rsid w:val="004F1490"/>
    <w:rsid w:val="004F495F"/>
    <w:rsid w:val="004F58DC"/>
    <w:rsid w:val="004F5C0C"/>
    <w:rsid w:val="004F6B23"/>
    <w:rsid w:val="004F7221"/>
    <w:rsid w:val="004F7380"/>
    <w:rsid w:val="00501605"/>
    <w:rsid w:val="00504633"/>
    <w:rsid w:val="005071B5"/>
    <w:rsid w:val="0051224F"/>
    <w:rsid w:val="005127F3"/>
    <w:rsid w:val="005168A6"/>
    <w:rsid w:val="00523B7F"/>
    <w:rsid w:val="00523C68"/>
    <w:rsid w:val="00523C90"/>
    <w:rsid w:val="00525E72"/>
    <w:rsid w:val="00525EB0"/>
    <w:rsid w:val="005303A1"/>
    <w:rsid w:val="00531798"/>
    <w:rsid w:val="005352E5"/>
    <w:rsid w:val="0054124C"/>
    <w:rsid w:val="00541B5C"/>
    <w:rsid w:val="00542E33"/>
    <w:rsid w:val="00545130"/>
    <w:rsid w:val="00550E77"/>
    <w:rsid w:val="00554355"/>
    <w:rsid w:val="00554FB8"/>
    <w:rsid w:val="00556756"/>
    <w:rsid w:val="00560F5C"/>
    <w:rsid w:val="00566219"/>
    <w:rsid w:val="00571FCD"/>
    <w:rsid w:val="0057400D"/>
    <w:rsid w:val="00581D16"/>
    <w:rsid w:val="00590C81"/>
    <w:rsid w:val="005916EC"/>
    <w:rsid w:val="005929D2"/>
    <w:rsid w:val="005A3C7E"/>
    <w:rsid w:val="005A54F3"/>
    <w:rsid w:val="005A692B"/>
    <w:rsid w:val="005B136E"/>
    <w:rsid w:val="005B1E51"/>
    <w:rsid w:val="005B27CC"/>
    <w:rsid w:val="005B5B62"/>
    <w:rsid w:val="005B5D64"/>
    <w:rsid w:val="005B6282"/>
    <w:rsid w:val="005B72FE"/>
    <w:rsid w:val="005C114D"/>
    <w:rsid w:val="005C36FD"/>
    <w:rsid w:val="005C3FC9"/>
    <w:rsid w:val="005C7B05"/>
    <w:rsid w:val="005D0A3C"/>
    <w:rsid w:val="005D1FD8"/>
    <w:rsid w:val="005D2322"/>
    <w:rsid w:val="005F06BF"/>
    <w:rsid w:val="005F14AD"/>
    <w:rsid w:val="005F1C10"/>
    <w:rsid w:val="005F33A9"/>
    <w:rsid w:val="005F4FED"/>
    <w:rsid w:val="005F6184"/>
    <w:rsid w:val="00600865"/>
    <w:rsid w:val="00604950"/>
    <w:rsid w:val="00611BFE"/>
    <w:rsid w:val="006128B8"/>
    <w:rsid w:val="0061345E"/>
    <w:rsid w:val="00614420"/>
    <w:rsid w:val="00615BDF"/>
    <w:rsid w:val="006160A5"/>
    <w:rsid w:val="006170EC"/>
    <w:rsid w:val="00617B14"/>
    <w:rsid w:val="006206F6"/>
    <w:rsid w:val="00620B07"/>
    <w:rsid w:val="00620C6E"/>
    <w:rsid w:val="00622B37"/>
    <w:rsid w:val="00623A7C"/>
    <w:rsid w:val="00624CA5"/>
    <w:rsid w:val="00625219"/>
    <w:rsid w:val="00634E59"/>
    <w:rsid w:val="00635068"/>
    <w:rsid w:val="0063597D"/>
    <w:rsid w:val="00637B57"/>
    <w:rsid w:val="00640C2E"/>
    <w:rsid w:val="006420BE"/>
    <w:rsid w:val="00644C07"/>
    <w:rsid w:val="006452EC"/>
    <w:rsid w:val="00645363"/>
    <w:rsid w:val="00646956"/>
    <w:rsid w:val="00655B58"/>
    <w:rsid w:val="00656543"/>
    <w:rsid w:val="006576B7"/>
    <w:rsid w:val="00660880"/>
    <w:rsid w:val="00662FF4"/>
    <w:rsid w:val="00663351"/>
    <w:rsid w:val="006705FB"/>
    <w:rsid w:val="00670893"/>
    <w:rsid w:val="006736AD"/>
    <w:rsid w:val="006746A5"/>
    <w:rsid w:val="006751BB"/>
    <w:rsid w:val="0067770B"/>
    <w:rsid w:val="00683245"/>
    <w:rsid w:val="00685524"/>
    <w:rsid w:val="0069031C"/>
    <w:rsid w:val="006939FE"/>
    <w:rsid w:val="00697ED2"/>
    <w:rsid w:val="006A2476"/>
    <w:rsid w:val="006A3A56"/>
    <w:rsid w:val="006A43F7"/>
    <w:rsid w:val="006A591D"/>
    <w:rsid w:val="006A627F"/>
    <w:rsid w:val="006B0623"/>
    <w:rsid w:val="006B33A3"/>
    <w:rsid w:val="006B46C6"/>
    <w:rsid w:val="006B491A"/>
    <w:rsid w:val="006B4EEB"/>
    <w:rsid w:val="006B570F"/>
    <w:rsid w:val="006B58A4"/>
    <w:rsid w:val="006C0188"/>
    <w:rsid w:val="006C06CE"/>
    <w:rsid w:val="006C166E"/>
    <w:rsid w:val="006C2EB4"/>
    <w:rsid w:val="006C2F7C"/>
    <w:rsid w:val="006C499B"/>
    <w:rsid w:val="006C6670"/>
    <w:rsid w:val="006C78DD"/>
    <w:rsid w:val="006C7FA8"/>
    <w:rsid w:val="006D3553"/>
    <w:rsid w:val="006D6CEE"/>
    <w:rsid w:val="006E0DBA"/>
    <w:rsid w:val="006E32CA"/>
    <w:rsid w:val="006E5891"/>
    <w:rsid w:val="006E6FF1"/>
    <w:rsid w:val="006F3DDD"/>
    <w:rsid w:val="006F6499"/>
    <w:rsid w:val="007032F5"/>
    <w:rsid w:val="00703479"/>
    <w:rsid w:val="00705B5F"/>
    <w:rsid w:val="00705C22"/>
    <w:rsid w:val="007065D2"/>
    <w:rsid w:val="00707AB5"/>
    <w:rsid w:val="00710B63"/>
    <w:rsid w:val="00712397"/>
    <w:rsid w:val="00712DB0"/>
    <w:rsid w:val="007208AA"/>
    <w:rsid w:val="00721EE3"/>
    <w:rsid w:val="007239AD"/>
    <w:rsid w:val="00725CC2"/>
    <w:rsid w:val="00727DA5"/>
    <w:rsid w:val="00727E8D"/>
    <w:rsid w:val="00740AD7"/>
    <w:rsid w:val="007433D8"/>
    <w:rsid w:val="00745038"/>
    <w:rsid w:val="00745B33"/>
    <w:rsid w:val="007505B8"/>
    <w:rsid w:val="00750D13"/>
    <w:rsid w:val="00750EEB"/>
    <w:rsid w:val="00751ABB"/>
    <w:rsid w:val="00751E7A"/>
    <w:rsid w:val="00752194"/>
    <w:rsid w:val="00752992"/>
    <w:rsid w:val="00752DE9"/>
    <w:rsid w:val="007535B4"/>
    <w:rsid w:val="007564D5"/>
    <w:rsid w:val="00756925"/>
    <w:rsid w:val="00762956"/>
    <w:rsid w:val="0076314A"/>
    <w:rsid w:val="00764B25"/>
    <w:rsid w:val="00764E78"/>
    <w:rsid w:val="00766CEA"/>
    <w:rsid w:val="00770194"/>
    <w:rsid w:val="00772278"/>
    <w:rsid w:val="007727AC"/>
    <w:rsid w:val="00777223"/>
    <w:rsid w:val="00780DDA"/>
    <w:rsid w:val="00782783"/>
    <w:rsid w:val="00782E4C"/>
    <w:rsid w:val="0078339F"/>
    <w:rsid w:val="00783967"/>
    <w:rsid w:val="00783D20"/>
    <w:rsid w:val="0078410F"/>
    <w:rsid w:val="007850CA"/>
    <w:rsid w:val="0078514E"/>
    <w:rsid w:val="00785609"/>
    <w:rsid w:val="0078593B"/>
    <w:rsid w:val="0079296A"/>
    <w:rsid w:val="007957ED"/>
    <w:rsid w:val="0079648D"/>
    <w:rsid w:val="00796620"/>
    <w:rsid w:val="007969FF"/>
    <w:rsid w:val="00796A6E"/>
    <w:rsid w:val="007A1945"/>
    <w:rsid w:val="007A28C3"/>
    <w:rsid w:val="007A2B42"/>
    <w:rsid w:val="007B05F6"/>
    <w:rsid w:val="007B1B84"/>
    <w:rsid w:val="007C30FE"/>
    <w:rsid w:val="007C7DDA"/>
    <w:rsid w:val="007D0A5F"/>
    <w:rsid w:val="007D5697"/>
    <w:rsid w:val="007D657B"/>
    <w:rsid w:val="007D7BCA"/>
    <w:rsid w:val="007E0B25"/>
    <w:rsid w:val="007E3278"/>
    <w:rsid w:val="007E3E46"/>
    <w:rsid w:val="007E55CA"/>
    <w:rsid w:val="007E6408"/>
    <w:rsid w:val="007F11C5"/>
    <w:rsid w:val="007F2B38"/>
    <w:rsid w:val="007F3C82"/>
    <w:rsid w:val="007F49C4"/>
    <w:rsid w:val="007F71CA"/>
    <w:rsid w:val="008011DF"/>
    <w:rsid w:val="00801E64"/>
    <w:rsid w:val="00802404"/>
    <w:rsid w:val="00802497"/>
    <w:rsid w:val="008030B6"/>
    <w:rsid w:val="00805D58"/>
    <w:rsid w:val="00812A76"/>
    <w:rsid w:val="00812BAF"/>
    <w:rsid w:val="0081325A"/>
    <w:rsid w:val="008146E7"/>
    <w:rsid w:val="00822767"/>
    <w:rsid w:val="008240E2"/>
    <w:rsid w:val="00830947"/>
    <w:rsid w:val="00832A67"/>
    <w:rsid w:val="00833E98"/>
    <w:rsid w:val="00834FE9"/>
    <w:rsid w:val="008360D2"/>
    <w:rsid w:val="00845ABA"/>
    <w:rsid w:val="00846CB1"/>
    <w:rsid w:val="00847980"/>
    <w:rsid w:val="00850C79"/>
    <w:rsid w:val="00854F6F"/>
    <w:rsid w:val="008571FA"/>
    <w:rsid w:val="008655E7"/>
    <w:rsid w:val="00866097"/>
    <w:rsid w:val="00871266"/>
    <w:rsid w:val="0087646B"/>
    <w:rsid w:val="008775C8"/>
    <w:rsid w:val="00877BD5"/>
    <w:rsid w:val="008818C5"/>
    <w:rsid w:val="00881C0E"/>
    <w:rsid w:val="00883018"/>
    <w:rsid w:val="00883B4A"/>
    <w:rsid w:val="0089031C"/>
    <w:rsid w:val="00890D08"/>
    <w:rsid w:val="00891E7F"/>
    <w:rsid w:val="008A004B"/>
    <w:rsid w:val="008A0061"/>
    <w:rsid w:val="008A0196"/>
    <w:rsid w:val="008A2C72"/>
    <w:rsid w:val="008A33AE"/>
    <w:rsid w:val="008A5544"/>
    <w:rsid w:val="008B5BBC"/>
    <w:rsid w:val="008B5DC3"/>
    <w:rsid w:val="008B6E53"/>
    <w:rsid w:val="008B75AD"/>
    <w:rsid w:val="008C1A25"/>
    <w:rsid w:val="008C2A67"/>
    <w:rsid w:val="008C75FC"/>
    <w:rsid w:val="008C7B15"/>
    <w:rsid w:val="008C7B9E"/>
    <w:rsid w:val="008D1182"/>
    <w:rsid w:val="008D2E2E"/>
    <w:rsid w:val="008D33DB"/>
    <w:rsid w:val="008D34BE"/>
    <w:rsid w:val="008D715E"/>
    <w:rsid w:val="008D7CFB"/>
    <w:rsid w:val="008E0727"/>
    <w:rsid w:val="008E35A5"/>
    <w:rsid w:val="008E406B"/>
    <w:rsid w:val="008E65F5"/>
    <w:rsid w:val="008F06CB"/>
    <w:rsid w:val="008F0AF2"/>
    <w:rsid w:val="008F13F8"/>
    <w:rsid w:val="008F1A5B"/>
    <w:rsid w:val="008F330B"/>
    <w:rsid w:val="008F3B9B"/>
    <w:rsid w:val="008F46C6"/>
    <w:rsid w:val="00901C0F"/>
    <w:rsid w:val="00903298"/>
    <w:rsid w:val="00907192"/>
    <w:rsid w:val="009112BA"/>
    <w:rsid w:val="009115BF"/>
    <w:rsid w:val="00911DA3"/>
    <w:rsid w:val="0091205B"/>
    <w:rsid w:val="00916993"/>
    <w:rsid w:val="00916995"/>
    <w:rsid w:val="009206F9"/>
    <w:rsid w:val="00924561"/>
    <w:rsid w:val="00924EEA"/>
    <w:rsid w:val="0092527D"/>
    <w:rsid w:val="009256CE"/>
    <w:rsid w:val="00925CBE"/>
    <w:rsid w:val="00927F9E"/>
    <w:rsid w:val="00931807"/>
    <w:rsid w:val="00934D9B"/>
    <w:rsid w:val="0093589C"/>
    <w:rsid w:val="0093693E"/>
    <w:rsid w:val="00942B94"/>
    <w:rsid w:val="009444F5"/>
    <w:rsid w:val="009453A6"/>
    <w:rsid w:val="00945C9B"/>
    <w:rsid w:val="00945EE1"/>
    <w:rsid w:val="00950D7B"/>
    <w:rsid w:val="00953C33"/>
    <w:rsid w:val="009540C3"/>
    <w:rsid w:val="0095593C"/>
    <w:rsid w:val="00960381"/>
    <w:rsid w:val="009609E8"/>
    <w:rsid w:val="00960FA4"/>
    <w:rsid w:val="00962AAF"/>
    <w:rsid w:val="00963332"/>
    <w:rsid w:val="00964CAF"/>
    <w:rsid w:val="00965264"/>
    <w:rsid w:val="0096647A"/>
    <w:rsid w:val="009668E9"/>
    <w:rsid w:val="00966E06"/>
    <w:rsid w:val="00967633"/>
    <w:rsid w:val="00971134"/>
    <w:rsid w:val="00971C65"/>
    <w:rsid w:val="0097214A"/>
    <w:rsid w:val="00972693"/>
    <w:rsid w:val="0097279F"/>
    <w:rsid w:val="00972A2D"/>
    <w:rsid w:val="00974695"/>
    <w:rsid w:val="00974934"/>
    <w:rsid w:val="00975103"/>
    <w:rsid w:val="00976AFE"/>
    <w:rsid w:val="00980042"/>
    <w:rsid w:val="00981A25"/>
    <w:rsid w:val="00981A31"/>
    <w:rsid w:val="00981E5F"/>
    <w:rsid w:val="009821AD"/>
    <w:rsid w:val="009824F7"/>
    <w:rsid w:val="009831ED"/>
    <w:rsid w:val="00983BC0"/>
    <w:rsid w:val="00983EA2"/>
    <w:rsid w:val="00984E8C"/>
    <w:rsid w:val="00985C52"/>
    <w:rsid w:val="00994C09"/>
    <w:rsid w:val="009A0B8F"/>
    <w:rsid w:val="009A4092"/>
    <w:rsid w:val="009A5123"/>
    <w:rsid w:val="009A6C10"/>
    <w:rsid w:val="009A758E"/>
    <w:rsid w:val="009B0C92"/>
    <w:rsid w:val="009B2916"/>
    <w:rsid w:val="009B4208"/>
    <w:rsid w:val="009B42F8"/>
    <w:rsid w:val="009B47A6"/>
    <w:rsid w:val="009B5567"/>
    <w:rsid w:val="009B6410"/>
    <w:rsid w:val="009B6A11"/>
    <w:rsid w:val="009C1D61"/>
    <w:rsid w:val="009C3481"/>
    <w:rsid w:val="009C3B96"/>
    <w:rsid w:val="009C642C"/>
    <w:rsid w:val="009D08CC"/>
    <w:rsid w:val="009D0C52"/>
    <w:rsid w:val="009E0CD9"/>
    <w:rsid w:val="009E44FC"/>
    <w:rsid w:val="009E495B"/>
    <w:rsid w:val="009E5A32"/>
    <w:rsid w:val="009E5A8D"/>
    <w:rsid w:val="009E5D1F"/>
    <w:rsid w:val="009F203D"/>
    <w:rsid w:val="009F2ED0"/>
    <w:rsid w:val="009F4DF8"/>
    <w:rsid w:val="009F646B"/>
    <w:rsid w:val="00A001A4"/>
    <w:rsid w:val="00A02696"/>
    <w:rsid w:val="00A07580"/>
    <w:rsid w:val="00A10D43"/>
    <w:rsid w:val="00A11924"/>
    <w:rsid w:val="00A146AF"/>
    <w:rsid w:val="00A15FD3"/>
    <w:rsid w:val="00A2022C"/>
    <w:rsid w:val="00A2390D"/>
    <w:rsid w:val="00A32BAD"/>
    <w:rsid w:val="00A35418"/>
    <w:rsid w:val="00A372D0"/>
    <w:rsid w:val="00A4290B"/>
    <w:rsid w:val="00A45990"/>
    <w:rsid w:val="00A47E62"/>
    <w:rsid w:val="00A506E9"/>
    <w:rsid w:val="00A5498D"/>
    <w:rsid w:val="00A56B3B"/>
    <w:rsid w:val="00A56C3E"/>
    <w:rsid w:val="00A6087F"/>
    <w:rsid w:val="00A618A1"/>
    <w:rsid w:val="00A62A51"/>
    <w:rsid w:val="00A639F6"/>
    <w:rsid w:val="00A64E75"/>
    <w:rsid w:val="00A6550A"/>
    <w:rsid w:val="00A658F4"/>
    <w:rsid w:val="00A67B9E"/>
    <w:rsid w:val="00A707D9"/>
    <w:rsid w:val="00A70B23"/>
    <w:rsid w:val="00A7109A"/>
    <w:rsid w:val="00A739D6"/>
    <w:rsid w:val="00A7782B"/>
    <w:rsid w:val="00A81119"/>
    <w:rsid w:val="00A81DE7"/>
    <w:rsid w:val="00A8248C"/>
    <w:rsid w:val="00A85977"/>
    <w:rsid w:val="00A85F0C"/>
    <w:rsid w:val="00A91C03"/>
    <w:rsid w:val="00A91E63"/>
    <w:rsid w:val="00A93286"/>
    <w:rsid w:val="00A94B98"/>
    <w:rsid w:val="00A95A2A"/>
    <w:rsid w:val="00A95EA9"/>
    <w:rsid w:val="00AA1040"/>
    <w:rsid w:val="00AA164D"/>
    <w:rsid w:val="00AA3629"/>
    <w:rsid w:val="00AB21FF"/>
    <w:rsid w:val="00AB46D5"/>
    <w:rsid w:val="00AB5B7E"/>
    <w:rsid w:val="00AB7551"/>
    <w:rsid w:val="00AC49F1"/>
    <w:rsid w:val="00AC7A16"/>
    <w:rsid w:val="00AD32FF"/>
    <w:rsid w:val="00AD3D25"/>
    <w:rsid w:val="00AD405F"/>
    <w:rsid w:val="00AD69F6"/>
    <w:rsid w:val="00AE1863"/>
    <w:rsid w:val="00AE5B97"/>
    <w:rsid w:val="00AE70F8"/>
    <w:rsid w:val="00AF10F5"/>
    <w:rsid w:val="00AF45A9"/>
    <w:rsid w:val="00AF5179"/>
    <w:rsid w:val="00AF72F4"/>
    <w:rsid w:val="00B038F4"/>
    <w:rsid w:val="00B04D98"/>
    <w:rsid w:val="00B06AC6"/>
    <w:rsid w:val="00B10202"/>
    <w:rsid w:val="00B13C90"/>
    <w:rsid w:val="00B14B01"/>
    <w:rsid w:val="00B161B9"/>
    <w:rsid w:val="00B16610"/>
    <w:rsid w:val="00B225EF"/>
    <w:rsid w:val="00B241CE"/>
    <w:rsid w:val="00B247BB"/>
    <w:rsid w:val="00B24B16"/>
    <w:rsid w:val="00B303BC"/>
    <w:rsid w:val="00B3220B"/>
    <w:rsid w:val="00B354E2"/>
    <w:rsid w:val="00B3684D"/>
    <w:rsid w:val="00B40514"/>
    <w:rsid w:val="00B40D57"/>
    <w:rsid w:val="00B43CD2"/>
    <w:rsid w:val="00B45120"/>
    <w:rsid w:val="00B45FF5"/>
    <w:rsid w:val="00B518F0"/>
    <w:rsid w:val="00B523A3"/>
    <w:rsid w:val="00B555B9"/>
    <w:rsid w:val="00B56A9A"/>
    <w:rsid w:val="00B579B9"/>
    <w:rsid w:val="00B618BA"/>
    <w:rsid w:val="00B6390C"/>
    <w:rsid w:val="00B64366"/>
    <w:rsid w:val="00B66803"/>
    <w:rsid w:val="00B67264"/>
    <w:rsid w:val="00B729FD"/>
    <w:rsid w:val="00B772CD"/>
    <w:rsid w:val="00B822D7"/>
    <w:rsid w:val="00B852C5"/>
    <w:rsid w:val="00B9037E"/>
    <w:rsid w:val="00B920AC"/>
    <w:rsid w:val="00B9495C"/>
    <w:rsid w:val="00B9623F"/>
    <w:rsid w:val="00B96690"/>
    <w:rsid w:val="00B967F3"/>
    <w:rsid w:val="00BA5981"/>
    <w:rsid w:val="00BA5EDA"/>
    <w:rsid w:val="00BA6A7C"/>
    <w:rsid w:val="00BB4DE5"/>
    <w:rsid w:val="00BC02FE"/>
    <w:rsid w:val="00BC0D0F"/>
    <w:rsid w:val="00BC3BFB"/>
    <w:rsid w:val="00BC41A2"/>
    <w:rsid w:val="00BC49AA"/>
    <w:rsid w:val="00BC70C8"/>
    <w:rsid w:val="00BD1984"/>
    <w:rsid w:val="00BD7BC3"/>
    <w:rsid w:val="00BD7BD6"/>
    <w:rsid w:val="00BD7C82"/>
    <w:rsid w:val="00BF2D1D"/>
    <w:rsid w:val="00BF6592"/>
    <w:rsid w:val="00C0418D"/>
    <w:rsid w:val="00C061A0"/>
    <w:rsid w:val="00C13CBA"/>
    <w:rsid w:val="00C15329"/>
    <w:rsid w:val="00C15EBA"/>
    <w:rsid w:val="00C166C9"/>
    <w:rsid w:val="00C1712F"/>
    <w:rsid w:val="00C17266"/>
    <w:rsid w:val="00C26945"/>
    <w:rsid w:val="00C27E29"/>
    <w:rsid w:val="00C27ECD"/>
    <w:rsid w:val="00C3513C"/>
    <w:rsid w:val="00C35374"/>
    <w:rsid w:val="00C355B4"/>
    <w:rsid w:val="00C37720"/>
    <w:rsid w:val="00C416C7"/>
    <w:rsid w:val="00C43398"/>
    <w:rsid w:val="00C45172"/>
    <w:rsid w:val="00C52550"/>
    <w:rsid w:val="00C61BB9"/>
    <w:rsid w:val="00C649AE"/>
    <w:rsid w:val="00C65B62"/>
    <w:rsid w:val="00C6605D"/>
    <w:rsid w:val="00C72235"/>
    <w:rsid w:val="00C74003"/>
    <w:rsid w:val="00C75652"/>
    <w:rsid w:val="00C765FB"/>
    <w:rsid w:val="00C814A3"/>
    <w:rsid w:val="00C82066"/>
    <w:rsid w:val="00C821A6"/>
    <w:rsid w:val="00C86149"/>
    <w:rsid w:val="00C87424"/>
    <w:rsid w:val="00C874B1"/>
    <w:rsid w:val="00C92756"/>
    <w:rsid w:val="00C92C4A"/>
    <w:rsid w:val="00C938BC"/>
    <w:rsid w:val="00CA2148"/>
    <w:rsid w:val="00CA3BD3"/>
    <w:rsid w:val="00CA42E9"/>
    <w:rsid w:val="00CA6116"/>
    <w:rsid w:val="00CB5274"/>
    <w:rsid w:val="00CB6F01"/>
    <w:rsid w:val="00CB783E"/>
    <w:rsid w:val="00CC14F2"/>
    <w:rsid w:val="00CC1BFA"/>
    <w:rsid w:val="00CC36EB"/>
    <w:rsid w:val="00CD04BC"/>
    <w:rsid w:val="00CD271F"/>
    <w:rsid w:val="00CD57FB"/>
    <w:rsid w:val="00CD776E"/>
    <w:rsid w:val="00CD7CAE"/>
    <w:rsid w:val="00CD7DEB"/>
    <w:rsid w:val="00CE1C01"/>
    <w:rsid w:val="00CE26DF"/>
    <w:rsid w:val="00CE32D0"/>
    <w:rsid w:val="00CE4DD8"/>
    <w:rsid w:val="00CE55C2"/>
    <w:rsid w:val="00CF1EAB"/>
    <w:rsid w:val="00CF458C"/>
    <w:rsid w:val="00CF6B87"/>
    <w:rsid w:val="00D06AE8"/>
    <w:rsid w:val="00D07A56"/>
    <w:rsid w:val="00D14F09"/>
    <w:rsid w:val="00D150FC"/>
    <w:rsid w:val="00D205FE"/>
    <w:rsid w:val="00D20F91"/>
    <w:rsid w:val="00D210E7"/>
    <w:rsid w:val="00D235E8"/>
    <w:rsid w:val="00D330AA"/>
    <w:rsid w:val="00D3389D"/>
    <w:rsid w:val="00D35355"/>
    <w:rsid w:val="00D37CF7"/>
    <w:rsid w:val="00D448F2"/>
    <w:rsid w:val="00D44D8D"/>
    <w:rsid w:val="00D46A94"/>
    <w:rsid w:val="00D46D49"/>
    <w:rsid w:val="00D518A9"/>
    <w:rsid w:val="00D5242D"/>
    <w:rsid w:val="00D52471"/>
    <w:rsid w:val="00D5389E"/>
    <w:rsid w:val="00D546B4"/>
    <w:rsid w:val="00D61718"/>
    <w:rsid w:val="00D7118C"/>
    <w:rsid w:val="00D7224D"/>
    <w:rsid w:val="00D763DE"/>
    <w:rsid w:val="00D772EC"/>
    <w:rsid w:val="00D81F18"/>
    <w:rsid w:val="00D84A81"/>
    <w:rsid w:val="00D869E4"/>
    <w:rsid w:val="00D8704B"/>
    <w:rsid w:val="00D92840"/>
    <w:rsid w:val="00D93D7C"/>
    <w:rsid w:val="00D9408E"/>
    <w:rsid w:val="00D95EEC"/>
    <w:rsid w:val="00D96958"/>
    <w:rsid w:val="00D96D49"/>
    <w:rsid w:val="00DA3917"/>
    <w:rsid w:val="00DA3B41"/>
    <w:rsid w:val="00DA569D"/>
    <w:rsid w:val="00DB76A7"/>
    <w:rsid w:val="00DC0562"/>
    <w:rsid w:val="00DC18AB"/>
    <w:rsid w:val="00DC48D1"/>
    <w:rsid w:val="00DC5E6E"/>
    <w:rsid w:val="00DD0556"/>
    <w:rsid w:val="00DD1BC4"/>
    <w:rsid w:val="00DD53BB"/>
    <w:rsid w:val="00DD6E84"/>
    <w:rsid w:val="00DE3824"/>
    <w:rsid w:val="00DE4DE8"/>
    <w:rsid w:val="00DE5A1D"/>
    <w:rsid w:val="00DE6DA6"/>
    <w:rsid w:val="00DE7F53"/>
    <w:rsid w:val="00DE7FDF"/>
    <w:rsid w:val="00DF7820"/>
    <w:rsid w:val="00E016DC"/>
    <w:rsid w:val="00E02CCC"/>
    <w:rsid w:val="00E03DD8"/>
    <w:rsid w:val="00E05666"/>
    <w:rsid w:val="00E065EF"/>
    <w:rsid w:val="00E06CCC"/>
    <w:rsid w:val="00E0733F"/>
    <w:rsid w:val="00E0784C"/>
    <w:rsid w:val="00E15F5B"/>
    <w:rsid w:val="00E24B53"/>
    <w:rsid w:val="00E266A1"/>
    <w:rsid w:val="00E307FB"/>
    <w:rsid w:val="00E316D2"/>
    <w:rsid w:val="00E31ECC"/>
    <w:rsid w:val="00E333FC"/>
    <w:rsid w:val="00E33529"/>
    <w:rsid w:val="00E35AA5"/>
    <w:rsid w:val="00E363AE"/>
    <w:rsid w:val="00E41748"/>
    <w:rsid w:val="00E418D9"/>
    <w:rsid w:val="00E4614B"/>
    <w:rsid w:val="00E46A76"/>
    <w:rsid w:val="00E520D0"/>
    <w:rsid w:val="00E638A4"/>
    <w:rsid w:val="00E67470"/>
    <w:rsid w:val="00E7105C"/>
    <w:rsid w:val="00E71150"/>
    <w:rsid w:val="00E73A23"/>
    <w:rsid w:val="00E74AAB"/>
    <w:rsid w:val="00E75237"/>
    <w:rsid w:val="00E76048"/>
    <w:rsid w:val="00E767CE"/>
    <w:rsid w:val="00E77A99"/>
    <w:rsid w:val="00E81CA5"/>
    <w:rsid w:val="00E81F4B"/>
    <w:rsid w:val="00E86705"/>
    <w:rsid w:val="00E86CEA"/>
    <w:rsid w:val="00E872EB"/>
    <w:rsid w:val="00E874F2"/>
    <w:rsid w:val="00E87B7C"/>
    <w:rsid w:val="00E960E4"/>
    <w:rsid w:val="00EA0236"/>
    <w:rsid w:val="00EA54DC"/>
    <w:rsid w:val="00EB0543"/>
    <w:rsid w:val="00EB0E7F"/>
    <w:rsid w:val="00EB118A"/>
    <w:rsid w:val="00EB5EDB"/>
    <w:rsid w:val="00EB6B89"/>
    <w:rsid w:val="00EB7CA4"/>
    <w:rsid w:val="00EC00A9"/>
    <w:rsid w:val="00EC313F"/>
    <w:rsid w:val="00EC49B0"/>
    <w:rsid w:val="00ED5C59"/>
    <w:rsid w:val="00ED6135"/>
    <w:rsid w:val="00ED7CCB"/>
    <w:rsid w:val="00EE016F"/>
    <w:rsid w:val="00EE2635"/>
    <w:rsid w:val="00EE2678"/>
    <w:rsid w:val="00EE2F83"/>
    <w:rsid w:val="00EE320C"/>
    <w:rsid w:val="00EE7567"/>
    <w:rsid w:val="00EE75DF"/>
    <w:rsid w:val="00EE7FC7"/>
    <w:rsid w:val="00EF0E97"/>
    <w:rsid w:val="00EF351D"/>
    <w:rsid w:val="00EF41EE"/>
    <w:rsid w:val="00F0072F"/>
    <w:rsid w:val="00F01639"/>
    <w:rsid w:val="00F024EB"/>
    <w:rsid w:val="00F036D3"/>
    <w:rsid w:val="00F12ABD"/>
    <w:rsid w:val="00F15D1A"/>
    <w:rsid w:val="00F16192"/>
    <w:rsid w:val="00F20920"/>
    <w:rsid w:val="00F23222"/>
    <w:rsid w:val="00F23B89"/>
    <w:rsid w:val="00F24D96"/>
    <w:rsid w:val="00F25B86"/>
    <w:rsid w:val="00F3061E"/>
    <w:rsid w:val="00F306F8"/>
    <w:rsid w:val="00F345E0"/>
    <w:rsid w:val="00F35AF1"/>
    <w:rsid w:val="00F35FE1"/>
    <w:rsid w:val="00F369D8"/>
    <w:rsid w:val="00F36BE8"/>
    <w:rsid w:val="00F36DD3"/>
    <w:rsid w:val="00F403CC"/>
    <w:rsid w:val="00F45143"/>
    <w:rsid w:val="00F459FB"/>
    <w:rsid w:val="00F47945"/>
    <w:rsid w:val="00F506ED"/>
    <w:rsid w:val="00F53837"/>
    <w:rsid w:val="00F53B58"/>
    <w:rsid w:val="00F53DE8"/>
    <w:rsid w:val="00F54CD0"/>
    <w:rsid w:val="00F5614B"/>
    <w:rsid w:val="00F60625"/>
    <w:rsid w:val="00F6191C"/>
    <w:rsid w:val="00F6235A"/>
    <w:rsid w:val="00F63FA2"/>
    <w:rsid w:val="00F71605"/>
    <w:rsid w:val="00F74212"/>
    <w:rsid w:val="00F751B8"/>
    <w:rsid w:val="00F756F2"/>
    <w:rsid w:val="00F768C2"/>
    <w:rsid w:val="00F83F79"/>
    <w:rsid w:val="00F8509C"/>
    <w:rsid w:val="00F9159D"/>
    <w:rsid w:val="00F91D27"/>
    <w:rsid w:val="00F93226"/>
    <w:rsid w:val="00F93464"/>
    <w:rsid w:val="00F93B1A"/>
    <w:rsid w:val="00F95333"/>
    <w:rsid w:val="00F954B9"/>
    <w:rsid w:val="00F96B31"/>
    <w:rsid w:val="00FA0246"/>
    <w:rsid w:val="00FA0B06"/>
    <w:rsid w:val="00FA5F1A"/>
    <w:rsid w:val="00FA7084"/>
    <w:rsid w:val="00FB1785"/>
    <w:rsid w:val="00FB17BD"/>
    <w:rsid w:val="00FB20EB"/>
    <w:rsid w:val="00FB22BA"/>
    <w:rsid w:val="00FB29D8"/>
    <w:rsid w:val="00FB31F8"/>
    <w:rsid w:val="00FB4184"/>
    <w:rsid w:val="00FB4933"/>
    <w:rsid w:val="00FB4E79"/>
    <w:rsid w:val="00FB5B50"/>
    <w:rsid w:val="00FB7380"/>
    <w:rsid w:val="00FB7F12"/>
    <w:rsid w:val="00FC4512"/>
    <w:rsid w:val="00FC7084"/>
    <w:rsid w:val="00FD4CAE"/>
    <w:rsid w:val="00FD65F9"/>
    <w:rsid w:val="00FE3699"/>
    <w:rsid w:val="00FE4B68"/>
    <w:rsid w:val="00FE4E06"/>
    <w:rsid w:val="00FE63DD"/>
    <w:rsid w:val="00FF044F"/>
    <w:rsid w:val="00FF129C"/>
    <w:rsid w:val="00FF6375"/>
    <w:rsid w:val="19FE435A"/>
    <w:rsid w:val="1FFF2E68"/>
    <w:rsid w:val="35BD7C62"/>
    <w:rsid w:val="37DF8DA9"/>
    <w:rsid w:val="3F7B470F"/>
    <w:rsid w:val="57FB6BEE"/>
    <w:rsid w:val="57FD5DF4"/>
    <w:rsid w:val="5ED8E475"/>
    <w:rsid w:val="67DFBE8B"/>
    <w:rsid w:val="6FB7E938"/>
    <w:rsid w:val="773B6DD6"/>
    <w:rsid w:val="77DF3586"/>
    <w:rsid w:val="7DE7A26B"/>
    <w:rsid w:val="7EE91AA5"/>
    <w:rsid w:val="7EF9CB89"/>
    <w:rsid w:val="7FAF6904"/>
    <w:rsid w:val="99FD062F"/>
    <w:rsid w:val="B7FD9B22"/>
    <w:rsid w:val="DD9EE503"/>
    <w:rsid w:val="EFFFCF1D"/>
    <w:rsid w:val="F77BF147"/>
    <w:rsid w:val="F87E3175"/>
    <w:rsid w:val="FEEE01C9"/>
    <w:rsid w:val="FFFF4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0"/>
      <w:sz w:val="24"/>
      <w:szCs w:val="24"/>
      <w:lang w:val="en-GB"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3"/>
    <w:semiHidden/>
    <w:unhideWhenUsed/>
    <w:qFormat/>
    <w:uiPriority w:val="99"/>
    <w:pPr>
      <w:snapToGrid w:val="0"/>
      <w:jc w:val="left"/>
    </w:pPr>
    <w:rPr>
      <w:sz w:val="18"/>
      <w:szCs w:val="18"/>
    </w:rPr>
  </w:style>
  <w:style w:type="paragraph" w:styleId="7">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paragraph" w:styleId="8">
    <w:name w:val="annotation subject"/>
    <w:basedOn w:val="2"/>
    <w:next w:val="2"/>
    <w:link w:val="21"/>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styleId="12">
    <w:name w:val="footnote reference"/>
    <w:basedOn w:val="10"/>
    <w:semiHidden/>
    <w:unhideWhenUsed/>
    <w:qFormat/>
    <w:uiPriority w:val="99"/>
    <w:rPr>
      <w:vertAlign w:val="superscript"/>
    </w:rPr>
  </w:style>
  <w:style w:type="paragraph" w:styleId="13">
    <w:name w:val="List Paragraph"/>
    <w:basedOn w:val="1"/>
    <w:link w:val="14"/>
    <w:qFormat/>
    <w:uiPriority w:val="34"/>
    <w:pPr>
      <w:autoSpaceDE w:val="0"/>
      <w:autoSpaceDN w:val="0"/>
      <w:adjustRightInd w:val="0"/>
      <w:ind w:firstLine="200" w:firstLineChars="200"/>
      <w:jc w:val="left"/>
    </w:pPr>
    <w:rPr>
      <w:rFonts w:cs="Times New Roman"/>
      <w:lang w:eastAsia="en-US"/>
    </w:rPr>
  </w:style>
  <w:style w:type="character" w:customStyle="1" w:styleId="14">
    <w:name w:val="List Paragraph Char"/>
    <w:link w:val="13"/>
    <w:qFormat/>
    <w:locked/>
    <w:uiPriority w:val="34"/>
    <w:rPr>
      <w:rFonts w:ascii="Times New Roman" w:hAnsi="Times New Roman" w:eastAsia="宋体" w:cs="Times New Roman"/>
      <w:kern w:val="0"/>
      <w:sz w:val="24"/>
      <w:szCs w:val="24"/>
      <w:lang w:val="en-GB" w:eastAsia="en-US"/>
    </w:rPr>
  </w:style>
  <w:style w:type="character" w:customStyle="1" w:styleId="15">
    <w:name w:val="Header Char"/>
    <w:basedOn w:val="10"/>
    <w:link w:val="5"/>
    <w:qFormat/>
    <w:uiPriority w:val="99"/>
    <w:rPr>
      <w:rFonts w:ascii="Times New Roman" w:hAnsi="Times New Roman" w:eastAsia="宋体" w:cs="宋体"/>
      <w:kern w:val="0"/>
      <w:sz w:val="18"/>
      <w:szCs w:val="18"/>
      <w:lang w:val="en-GB"/>
    </w:rPr>
  </w:style>
  <w:style w:type="character" w:customStyle="1" w:styleId="16">
    <w:name w:val="Footer Char"/>
    <w:basedOn w:val="10"/>
    <w:link w:val="4"/>
    <w:qFormat/>
    <w:uiPriority w:val="99"/>
    <w:rPr>
      <w:rFonts w:ascii="Times New Roman" w:hAnsi="Times New Roman" w:eastAsia="宋体" w:cs="宋体"/>
      <w:kern w:val="0"/>
      <w:sz w:val="18"/>
      <w:szCs w:val="18"/>
      <w:lang w:val="en-GB"/>
    </w:rPr>
  </w:style>
  <w:style w:type="paragraph" w:customStyle="1" w:styleId="17">
    <w:name w:val="Body A"/>
    <w:link w:val="19"/>
    <w:qFormat/>
    <w:uiPriority w:val="0"/>
    <w:pPr>
      <w:widowControl w:val="0"/>
      <w:spacing w:after="160" w:line="259" w:lineRule="auto"/>
      <w:jc w:val="both"/>
    </w:pPr>
    <w:rPr>
      <w:rFonts w:ascii="Calibri" w:hAnsi="Calibri" w:eastAsia="Calibri" w:cs="Calibri"/>
      <w:color w:val="000000"/>
      <w:kern w:val="2"/>
      <w:sz w:val="21"/>
      <w:szCs w:val="21"/>
      <w:u w:color="000000"/>
      <w:lang w:val="de-DE" w:eastAsia="en-US" w:bidi="ar-SA"/>
    </w:rPr>
  </w:style>
  <w:style w:type="character" w:customStyle="1" w:styleId="18">
    <w:name w:val="Comment Text Char"/>
    <w:basedOn w:val="10"/>
    <w:link w:val="2"/>
    <w:qFormat/>
    <w:uiPriority w:val="99"/>
    <w:rPr>
      <w:rFonts w:ascii="Times New Roman" w:hAnsi="Times New Roman" w:eastAsia="宋体" w:cs="宋体"/>
      <w:kern w:val="0"/>
      <w:sz w:val="24"/>
      <w:szCs w:val="24"/>
      <w:lang w:val="en-GB"/>
    </w:rPr>
  </w:style>
  <w:style w:type="character" w:customStyle="1" w:styleId="19">
    <w:name w:val="Body A Char"/>
    <w:basedOn w:val="10"/>
    <w:link w:val="17"/>
    <w:qFormat/>
    <w:uiPriority w:val="0"/>
    <w:rPr>
      <w:rFonts w:ascii="Calibri" w:hAnsi="Calibri" w:eastAsia="Calibri" w:cs="Calibri"/>
      <w:color w:val="000000"/>
      <w:szCs w:val="21"/>
      <w:u w:color="000000"/>
      <w:lang w:val="de-DE" w:eastAsia="en-US"/>
    </w:rPr>
  </w:style>
  <w:style w:type="character" w:customStyle="1" w:styleId="20">
    <w:name w:val="Balloon Text Char"/>
    <w:basedOn w:val="10"/>
    <w:link w:val="3"/>
    <w:semiHidden/>
    <w:qFormat/>
    <w:uiPriority w:val="99"/>
    <w:rPr>
      <w:rFonts w:ascii="Times New Roman" w:hAnsi="Times New Roman" w:eastAsia="宋体" w:cs="宋体"/>
      <w:kern w:val="0"/>
      <w:sz w:val="18"/>
      <w:szCs w:val="18"/>
      <w:lang w:val="en-GB"/>
    </w:rPr>
  </w:style>
  <w:style w:type="character" w:customStyle="1" w:styleId="21">
    <w:name w:val="Comment Subject Char"/>
    <w:basedOn w:val="18"/>
    <w:link w:val="8"/>
    <w:semiHidden/>
    <w:qFormat/>
    <w:uiPriority w:val="99"/>
    <w:rPr>
      <w:rFonts w:ascii="Times New Roman" w:hAnsi="Times New Roman" w:eastAsia="宋体" w:cs="宋体"/>
      <w:b/>
      <w:bCs/>
      <w:kern w:val="0"/>
      <w:sz w:val="24"/>
      <w:szCs w:val="24"/>
      <w:lang w:val="en-GB"/>
    </w:rPr>
  </w:style>
  <w:style w:type="paragraph" w:customStyle="1" w:styleId="22">
    <w:name w:val="ShortOutline1"/>
    <w:basedOn w:val="13"/>
    <w:qFormat/>
    <w:uiPriority w:val="0"/>
    <w:pPr>
      <w:tabs>
        <w:tab w:val="left" w:pos="360"/>
      </w:tabs>
      <w:spacing w:before="240" w:after="240"/>
      <w:ind w:firstLine="0" w:firstLineChars="0"/>
      <w:jc w:val="both"/>
    </w:pPr>
    <w:rPr>
      <w:lang w:val="en-US"/>
    </w:rPr>
  </w:style>
  <w:style w:type="character" w:customStyle="1" w:styleId="23">
    <w:name w:val="Footnote Text Char"/>
    <w:basedOn w:val="10"/>
    <w:link w:val="6"/>
    <w:semiHidden/>
    <w:qFormat/>
    <w:uiPriority w:val="99"/>
    <w:rPr>
      <w:rFonts w:ascii="Times New Roman" w:hAnsi="Times New Roman" w:eastAsia="宋体" w:cs="宋体"/>
      <w:kern w:val="0"/>
      <w:sz w:val="18"/>
      <w:szCs w:val="18"/>
      <w:lang w:val="en-GB"/>
    </w:rPr>
  </w:style>
  <w:style w:type="paragraph" w:customStyle="1" w:styleId="24">
    <w:name w:val="Revision"/>
    <w:hidden/>
    <w:semiHidden/>
    <w:qFormat/>
    <w:uiPriority w:val="99"/>
    <w:rPr>
      <w:rFonts w:ascii="Times New Roman" w:hAnsi="Times New Roman" w:eastAsia="宋体" w:cs="宋体"/>
      <w:kern w:val="0"/>
      <w:sz w:val="24"/>
      <w:szCs w:val="24"/>
      <w:lang w:val="en-GB" w:eastAsia="zh-CN" w:bidi="ar-SA"/>
    </w:rPr>
  </w:style>
  <w:style w:type="paragraph" w:customStyle="1" w:styleId="25">
    <w:name w:val="一级标题"/>
    <w:basedOn w:val="7"/>
    <w:qFormat/>
    <w:uiPriority w:val="0"/>
    <w:pPr>
      <w:adjustRightInd w:val="0"/>
      <w:spacing w:line="440" w:lineRule="exact"/>
      <w:ind w:firstLine="640" w:firstLineChars="200"/>
    </w:pPr>
    <w:rPr>
      <w:rFonts w:ascii="STZhongsong" w:hAnsi="STZhongsong" w:eastAsia="STZhongsong" w:cs="Times New Roman"/>
      <w:bCs w:val="0"/>
      <w:szCs w:val="30"/>
      <w:lang w:eastAsia="en-US"/>
    </w:rPr>
  </w:style>
  <w:style w:type="character" w:customStyle="1" w:styleId="26">
    <w:name w:val="Title Char"/>
    <w:basedOn w:val="10"/>
    <w:link w:val="7"/>
    <w:qFormat/>
    <w:uiPriority w:val="10"/>
    <w:rPr>
      <w:rFonts w:eastAsia="宋体" w:asciiTheme="majorHAnsi" w:hAnsiTheme="majorHAnsi" w:cstheme="majorBidi"/>
      <w:b/>
      <w:bCs/>
      <w:kern w:val="0"/>
      <w:sz w:val="32"/>
      <w:szCs w:val="32"/>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427</Words>
  <Characters>2437</Characters>
  <Lines>20</Lines>
  <Paragraphs>5</Paragraphs>
  <TotalTime>13</TotalTime>
  <ScaleCrop>false</ScaleCrop>
  <LinksUpToDate>false</LinksUpToDate>
  <CharactersWithSpaces>2859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2021-12-09T20:50:00Z</dcterms:created>
  <dc:creator>Fangda</dc:creator>
  <cp:lastModifiedBy>greatwall</cp:lastModifiedBy>
  <cp:lastPrinted>2021-12-11T04:10:00Z</cp:lastPrinted>
  <dcterms:modified xsi:type="dcterms:W3CDTF">2021-12-22T15:25:41Z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222660</vt:lpwstr>
  </property>
  <property fmtid="{D5CDD505-2E9C-101B-9397-08002B2CF9AE}" pid="3" name="Matter">
    <vt:lpwstr>0002</vt:lpwstr>
  </property>
  <property fmtid="{D5CDD505-2E9C-101B-9397-08002B2CF9AE}" pid="4" name="KSOProductBuildVer">
    <vt:lpwstr>2052-11.8.2.10458</vt:lpwstr>
  </property>
</Properties>
</file>