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after="0" w:afterLines="0" w:line="594" w:lineRule="exact"/>
        <w:jc w:val="left"/>
        <w:rPr>
          <w:rFonts w:hint="eastAsia" w:ascii="Times New Roman" w:hAnsi="Times New Roman" w:eastAsia="方正小标宋简体" w:cs="Times New Roman"/>
          <w:b w:val="0"/>
          <w:bCs/>
          <w:sz w:val="32"/>
          <w:szCs w:val="32"/>
          <w:lang w:eastAsia="zh-CN"/>
        </w:rPr>
      </w:pPr>
      <w:r>
        <w:rPr>
          <w:rFonts w:hint="eastAsia" w:ascii="黑体" w:hAnsi="黑体" w:eastAsia="黑体" w:cs="黑体"/>
          <w:b w:val="0"/>
          <w:bCs/>
          <w:sz w:val="32"/>
          <w:szCs w:val="32"/>
          <w:lang w:eastAsia="zh-CN"/>
        </w:rPr>
        <w:t>附件</w:t>
      </w:r>
      <w:r>
        <w:rPr>
          <w:rFonts w:hint="eastAsia" w:ascii="Times New Roman" w:hAnsi="Times New Roman" w:eastAsia="方正小标宋简体" w:cs="Times New Roman"/>
          <w:b w:val="0"/>
          <w:bCs/>
          <w:sz w:val="32"/>
          <w:szCs w:val="32"/>
          <w:lang w:eastAsia="zh-CN"/>
        </w:rPr>
        <w:t>：</w:t>
      </w:r>
    </w:p>
    <w:p>
      <w:pPr>
        <w:pStyle w:val="22"/>
        <w:spacing w:before="0" w:after="0" w:afterLines="0" w:line="594" w:lineRule="exact"/>
        <w:jc w:val="left"/>
        <w:rPr>
          <w:rFonts w:hint="eastAsia" w:ascii="Times New Roman" w:hAnsi="Times New Roman" w:eastAsia="方正小标宋简体" w:cs="Times New Roman"/>
          <w:b w:val="0"/>
          <w:bCs/>
          <w:sz w:val="44"/>
          <w:szCs w:val="44"/>
          <w:lang w:eastAsia="zh-CN"/>
        </w:rPr>
      </w:pPr>
    </w:p>
    <w:p>
      <w:pPr>
        <w:pStyle w:val="22"/>
        <w:spacing w:after="0" w:afterLines="0" w:line="594" w:lineRule="exact"/>
        <w:rPr>
          <w:rFonts w:hint="default" w:eastAsia="方正小标宋简体"/>
          <w:sz w:val="44"/>
          <w:szCs w:val="44"/>
          <w:lang w:eastAsia="zh-CN"/>
        </w:rPr>
      </w:pPr>
      <w:r>
        <w:rPr>
          <w:rFonts w:hint="default" w:eastAsia="方正小标宋简体"/>
          <w:sz w:val="44"/>
          <w:szCs w:val="44"/>
          <w:lang w:eastAsia="zh-CN"/>
        </w:rPr>
        <w:t>关于超威半导体公司收购赛灵思公司股权案的</w:t>
      </w:r>
    </w:p>
    <w:p>
      <w:pPr>
        <w:pStyle w:val="22"/>
        <w:spacing w:after="164" w:afterLines="50" w:line="594" w:lineRule="exact"/>
        <w:rPr>
          <w:rFonts w:hint="eastAsia" w:ascii="仿宋_GB2312" w:hAnsi="仿宋_GB2312" w:eastAsia="仿宋_GB2312" w:cs="仿宋_GB2312"/>
          <w:b w:val="0"/>
          <w:bCs/>
          <w:sz w:val="44"/>
          <w:szCs w:val="44"/>
          <w:lang w:val="en-US" w:eastAsia="zh-CN"/>
        </w:rPr>
      </w:pPr>
      <w:r>
        <w:rPr>
          <w:rFonts w:hint="default" w:eastAsia="方正小标宋简体"/>
          <w:sz w:val="44"/>
          <w:szCs w:val="44"/>
          <w:lang w:eastAsia="zh-CN"/>
        </w:rPr>
        <w:t>附加限制性条件承诺方案</w:t>
      </w:r>
    </w:p>
    <w:p>
      <w:pPr>
        <w:pStyle w:val="22"/>
        <w:spacing w:after="164" w:afterLines="50" w:line="594" w:lineRule="exact"/>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2022年1月13日</w:t>
      </w:r>
    </w:p>
    <w:p>
      <w:pPr>
        <w:pStyle w:val="22"/>
        <w:spacing w:after="164" w:afterLines="50" w:line="594" w:lineRule="exact"/>
        <w:rPr>
          <w:rFonts w:hint="default" w:ascii="Times New Roman" w:hAnsi="Times New Roman" w:eastAsia="方正小标宋简体" w:cs="Times New Roman"/>
          <w:sz w:val="32"/>
          <w:szCs w:val="32"/>
          <w:lang w:eastAsia="zh-CN"/>
        </w:rPr>
      </w:pPr>
    </w:p>
    <w:p>
      <w:pPr>
        <w:pStyle w:val="47"/>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根据《中华人民共和国反垄断法》、《经营者集中</w:t>
      </w:r>
      <w:r>
        <w:rPr>
          <w:rFonts w:hint="eastAsia" w:eastAsia="仿宋_GB2312"/>
          <w:sz w:val="32"/>
          <w:szCs w:val="32"/>
          <w:lang w:eastAsia="zh-CN"/>
        </w:rPr>
        <w:t>审查暂行规定</w:t>
      </w:r>
      <w:r>
        <w:rPr>
          <w:rFonts w:hint="default" w:eastAsia="仿宋_GB2312"/>
          <w:sz w:val="32"/>
          <w:szCs w:val="32"/>
          <w:lang w:eastAsia="zh-CN"/>
        </w:rPr>
        <w:t>》</w:t>
      </w:r>
      <w:r>
        <w:rPr>
          <w:rFonts w:hint="eastAsia" w:eastAsia="仿宋_GB2312"/>
          <w:sz w:val="32"/>
          <w:szCs w:val="32"/>
          <w:lang w:eastAsia="zh-CN"/>
        </w:rPr>
        <w:t>等</w:t>
      </w:r>
      <w:r>
        <w:rPr>
          <w:rFonts w:hint="default" w:eastAsia="仿宋_GB2312"/>
          <w:sz w:val="32"/>
          <w:szCs w:val="32"/>
          <w:lang w:eastAsia="zh-CN"/>
        </w:rPr>
        <w:t>法律法规，超威半导体公司（以下简称</w:t>
      </w:r>
      <w:r>
        <w:rPr>
          <w:rFonts w:hint="default" w:eastAsia="仿宋_GB2312"/>
          <w:b w:val="0"/>
          <w:bCs w:val="0"/>
          <w:sz w:val="32"/>
          <w:szCs w:val="32"/>
          <w:lang w:eastAsia="zh-CN"/>
        </w:rPr>
        <w:t>超威</w:t>
      </w:r>
      <w:r>
        <w:rPr>
          <w:rFonts w:hint="default" w:eastAsia="仿宋_GB2312"/>
          <w:sz w:val="32"/>
          <w:szCs w:val="32"/>
          <w:lang w:eastAsia="zh-CN"/>
        </w:rPr>
        <w:t>）与赛灵思公司（以下简称赛灵思）谨就超威收购赛灵思股权案向国家市场监督管理总局（以下简称</w:t>
      </w:r>
      <w:r>
        <w:rPr>
          <w:rFonts w:hint="default" w:eastAsia="仿宋_GB2312"/>
          <w:b w:val="0"/>
          <w:bCs w:val="0"/>
          <w:sz w:val="32"/>
          <w:szCs w:val="32"/>
          <w:lang w:eastAsia="zh-CN"/>
        </w:rPr>
        <w:t>市场监管总局）</w:t>
      </w:r>
      <w:r>
        <w:rPr>
          <w:rFonts w:hint="default" w:eastAsia="仿宋_GB2312"/>
          <w:sz w:val="32"/>
          <w:szCs w:val="32"/>
          <w:lang w:eastAsia="zh-CN"/>
        </w:rPr>
        <w:t>提交以下</w:t>
      </w:r>
      <w:r>
        <w:rPr>
          <w:rFonts w:hint="default" w:ascii="Times New Roman" w:hAnsi="Times New Roman" w:eastAsia="FangSong_GB2312" w:cs="Times New Roman"/>
          <w:kern w:val="2"/>
          <w:sz w:val="32"/>
          <w:szCs w:val="32"/>
        </w:rPr>
        <w:t>附加限制性条件的承诺方案（以下简称承诺方案）</w:t>
      </w:r>
      <w:r>
        <w:rPr>
          <w:rFonts w:hint="default" w:eastAsia="仿宋_GB2312"/>
          <w:sz w:val="32"/>
          <w:szCs w:val="32"/>
          <w:lang w:eastAsia="zh-CN"/>
        </w:rPr>
        <w:t>。</w:t>
      </w:r>
    </w:p>
    <w:p>
      <w:pPr>
        <w:spacing w:before="327" w:beforeLines="100" w:after="327" w:afterLines="100" w:line="360" w:lineRule="auto"/>
        <w:jc w:val="center"/>
        <w:rPr>
          <w:rFonts w:hint="default" w:ascii="Times New Roman" w:hAnsi="Times New Roman" w:eastAsia="黑体" w:cs="Times New Roman"/>
          <w:bCs/>
          <w:kern w:val="2"/>
          <w:sz w:val="32"/>
          <w:szCs w:val="32"/>
          <w:lang w:val="en-US"/>
        </w:rPr>
      </w:pPr>
      <w:r>
        <w:rPr>
          <w:rFonts w:hint="default" w:ascii="Times New Roman" w:hAnsi="Times New Roman" w:eastAsia="黑体" w:cs="Times New Roman"/>
          <w:bCs/>
          <w:kern w:val="2"/>
          <w:sz w:val="32"/>
          <w:szCs w:val="32"/>
          <w:lang w:val="en-US"/>
        </w:rPr>
        <w:t>第一部分 定义</w:t>
      </w:r>
    </w:p>
    <w:p>
      <w:pPr>
        <w:pStyle w:val="47"/>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就本</w:t>
      </w:r>
      <w:r>
        <w:rPr>
          <w:rFonts w:hint="default" w:eastAsia="仿宋_GB2312" w:cs="Times New Roman"/>
          <w:sz w:val="32"/>
          <w:szCs w:val="32"/>
          <w:lang w:eastAsia="zh-CN"/>
        </w:rPr>
        <w:t>承诺方案</w:t>
      </w:r>
      <w:r>
        <w:rPr>
          <w:rFonts w:hint="default" w:eastAsia="仿宋_GB2312"/>
          <w:sz w:val="32"/>
          <w:szCs w:val="32"/>
          <w:lang w:eastAsia="zh-CN"/>
        </w:rPr>
        <w:t>而言，以下术语定义如下：</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超威</w:t>
      </w:r>
      <w:r>
        <w:rPr>
          <w:rFonts w:hint="default" w:eastAsia="仿宋_GB2312"/>
          <w:sz w:val="32"/>
          <w:szCs w:val="32"/>
          <w:lang w:eastAsia="zh-CN"/>
        </w:rPr>
        <w:t>：超威半导体公司是一家根据美国特拉华州法律成立的公司，注册地址位于美国加利福尼亚州圣克拉拉市奥古斯汀大道2485号，邮编95054。</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赛灵思</w:t>
      </w:r>
      <w:r>
        <w:rPr>
          <w:rFonts w:hint="default" w:eastAsia="仿宋_GB2312"/>
          <w:sz w:val="32"/>
          <w:szCs w:val="32"/>
          <w:lang w:eastAsia="zh-CN"/>
        </w:rPr>
        <w:t>：赛灵思公司是一家根</w:t>
      </w:r>
      <w:bookmarkStart w:id="2" w:name="_GoBack"/>
      <w:bookmarkEnd w:id="2"/>
      <w:r>
        <w:rPr>
          <w:rFonts w:hint="default" w:eastAsia="仿宋_GB2312"/>
          <w:sz w:val="32"/>
          <w:szCs w:val="32"/>
          <w:lang w:eastAsia="zh-CN"/>
        </w:rPr>
        <w:t>据美国特拉华州法律成立的公司，注册地址位于美国加利福尼亚州圣何塞市逻辑路2100号，邮编95124。</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集中后实体</w:t>
      </w:r>
      <w:r>
        <w:rPr>
          <w:rFonts w:hint="default" w:eastAsia="仿宋_GB2312"/>
          <w:sz w:val="32"/>
          <w:szCs w:val="32"/>
          <w:lang w:eastAsia="zh-CN"/>
        </w:rPr>
        <w:t>：本交易完成后承继</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与赛灵思权利和义务的法律实体。</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PCIe（高速外围组件互连）</w:t>
      </w:r>
      <w:r>
        <w:rPr>
          <w:rFonts w:hint="default" w:eastAsia="仿宋_GB2312"/>
          <w:sz w:val="32"/>
          <w:szCs w:val="32"/>
          <w:lang w:eastAsia="zh-CN"/>
        </w:rPr>
        <w:t>：用于将CPU连接到服务器内的外围设备的开放行业标准。</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后继多供应商协议</w:t>
      </w:r>
      <w:r>
        <w:rPr>
          <w:rFonts w:hint="default" w:eastAsia="仿宋_GB2312"/>
          <w:sz w:val="32"/>
          <w:szCs w:val="32"/>
          <w:lang w:eastAsia="zh-CN"/>
        </w:rPr>
        <w:t>：由PCI-SIG组织（或任何类似的标准制定组织）必要多数成员所支持的、作为PCIe后继协议的多供应商、开放、标准化协议。</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交割</w:t>
      </w:r>
      <w:r>
        <w:rPr>
          <w:rFonts w:hint="default" w:eastAsia="仿宋_GB2312"/>
          <w:sz w:val="32"/>
          <w:szCs w:val="32"/>
          <w:lang w:eastAsia="zh-CN"/>
        </w:rPr>
        <w:t>：根据</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和赛灵思于2020年10月26日签订的《合并协议和计划》完成本交易。</w:t>
      </w:r>
    </w:p>
    <w:p>
      <w:pPr>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监督受托人</w:t>
      </w:r>
      <w:r>
        <w:rPr>
          <w:rFonts w:hint="default" w:eastAsia="仿宋_GB2312"/>
          <w:sz w:val="32"/>
          <w:szCs w:val="32"/>
          <w:lang w:eastAsia="zh-CN"/>
        </w:rPr>
        <w:t>：</w:t>
      </w:r>
      <w:r>
        <w:rPr>
          <w:rFonts w:hint="default" w:ascii="Times New Roman" w:hAnsi="Times New Roman" w:eastAsia="FangSong_GB2312" w:cs="Times New Roman"/>
          <w:kern w:val="2"/>
          <w:sz w:val="32"/>
          <w:szCs w:val="32"/>
          <w:lang w:eastAsia="zh-CN"/>
        </w:rPr>
        <w:t>指符合《经营者集中审查暂行规定》第三十六条的规定，由交易双方和集中后实体委托并经市场监管总局评估确定，负责对交易双方或集中后实体实施限制性条件进行监督并向市场监管总局报告的自然人、法人或其他组织。</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决定</w:t>
      </w:r>
      <w:r>
        <w:rPr>
          <w:rFonts w:hint="default" w:eastAsia="仿宋_GB2312"/>
          <w:sz w:val="32"/>
          <w:szCs w:val="32"/>
          <w:lang w:eastAsia="zh-CN"/>
        </w:rPr>
        <w:t>：</w:t>
      </w:r>
      <w:r>
        <w:rPr>
          <w:rFonts w:hint="default" w:ascii="Times New Roman" w:hAnsi="Times New Roman" w:eastAsia="FangSong_GB2312" w:cs="Times New Roman"/>
          <w:kern w:val="2"/>
          <w:sz w:val="32"/>
          <w:szCs w:val="32"/>
          <w:lang w:eastAsia="zh-CN"/>
        </w:rPr>
        <w:t>市场监管总局附加限制性条件批准本次交易的决定。</w:t>
      </w:r>
    </w:p>
    <w:p>
      <w:pPr>
        <w:pStyle w:val="47"/>
        <w:spacing w:after="0" w:afterLines="0" w:line="594" w:lineRule="exact"/>
        <w:ind w:firstLine="642" w:firstLineChars="200"/>
        <w:rPr>
          <w:rFonts w:hint="default" w:eastAsia="仿宋_GB2312"/>
          <w:sz w:val="32"/>
          <w:szCs w:val="32"/>
          <w:lang w:eastAsia="zh-CN"/>
        </w:rPr>
      </w:pPr>
      <w:r>
        <w:rPr>
          <w:rFonts w:hint="default" w:eastAsia="仿宋_GB2312"/>
          <w:b/>
          <w:sz w:val="32"/>
          <w:szCs w:val="32"/>
          <w:lang w:eastAsia="zh-CN"/>
        </w:rPr>
        <w:t>生效日</w:t>
      </w:r>
      <w:r>
        <w:rPr>
          <w:rFonts w:hint="default" w:eastAsia="仿宋_GB2312"/>
          <w:sz w:val="32"/>
          <w:szCs w:val="32"/>
          <w:lang w:eastAsia="zh-CN"/>
        </w:rPr>
        <w:t>：</w:t>
      </w:r>
      <w:r>
        <w:rPr>
          <w:rFonts w:hint="default" w:ascii="Times New Roman" w:hAnsi="Times New Roman" w:eastAsia="FangSong_GB2312" w:cs="Times New Roman"/>
          <w:kern w:val="2"/>
          <w:sz w:val="32"/>
          <w:szCs w:val="32"/>
          <w:lang w:eastAsia="zh-CN"/>
        </w:rPr>
        <w:t>市场监管总局审查决定生效的日期。</w:t>
      </w:r>
    </w:p>
    <w:p>
      <w:pPr>
        <w:pStyle w:val="63"/>
        <w:spacing w:before="327" w:beforeLines="100" w:after="327" w:afterLines="100" w:line="594" w:lineRule="exact"/>
        <w:ind w:firstLine="640" w:firstLineChars="200"/>
        <w:jc w:val="center"/>
        <w:rPr>
          <w:rFonts w:hint="default" w:eastAsia="黑体"/>
          <w:b w:val="0"/>
          <w:bCs/>
          <w:sz w:val="32"/>
          <w:szCs w:val="32"/>
          <w:lang w:eastAsia="zh-CN"/>
        </w:rPr>
      </w:pPr>
      <w:r>
        <w:rPr>
          <w:rFonts w:hint="default" w:eastAsia="黑体"/>
          <w:b w:val="0"/>
          <w:bCs/>
          <w:sz w:val="32"/>
          <w:szCs w:val="32"/>
          <w:lang w:eastAsia="zh-CN"/>
        </w:rPr>
        <w:t>第二部分</w:t>
      </w:r>
      <w:r>
        <w:rPr>
          <w:rFonts w:hint="default" w:eastAsia="黑体"/>
          <w:b w:val="0"/>
          <w:bCs/>
          <w:sz w:val="32"/>
          <w:szCs w:val="32"/>
          <w:lang w:val="en-US" w:eastAsia="zh-CN"/>
        </w:rPr>
        <w:t xml:space="preserve"> </w:t>
      </w:r>
      <w:r>
        <w:rPr>
          <w:rFonts w:hint="default" w:ascii="Times New Roman" w:hAnsi="Times New Roman" w:eastAsia="黑体" w:cs="Times New Roman"/>
          <w:b w:val="0"/>
          <w:bCs/>
          <w:sz w:val="32"/>
          <w:szCs w:val="32"/>
          <w:lang w:eastAsia="zh-CN"/>
        </w:rPr>
        <w:t>限制性</w:t>
      </w:r>
      <w:r>
        <w:rPr>
          <w:rFonts w:hint="default" w:eastAsia="黑体"/>
          <w:b w:val="0"/>
          <w:bCs/>
          <w:sz w:val="32"/>
          <w:szCs w:val="32"/>
          <w:lang w:eastAsia="zh-CN"/>
        </w:rPr>
        <w:t>条件</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 xml:space="preserve">1. </w:t>
      </w:r>
      <w:r>
        <w:rPr>
          <w:rFonts w:hint="default" w:eastAsia="仿宋_GB2312" w:cs="Times New Roman"/>
          <w:sz w:val="32"/>
          <w:szCs w:val="32"/>
          <w:lang w:val="en-US" w:eastAsia="zh-CN"/>
        </w:rPr>
        <w:t xml:space="preserve"> </w:t>
      </w:r>
      <w:r>
        <w:rPr>
          <w:rFonts w:hint="default" w:eastAsia="仿宋_GB2312"/>
          <w:sz w:val="32"/>
          <w:szCs w:val="32"/>
          <w:lang w:eastAsia="zh-CN"/>
        </w:rPr>
        <w:t>向中国境内</w:t>
      </w:r>
      <w:r>
        <w:rPr>
          <w:rFonts w:hint="default" w:ascii="Times New Roman" w:hAnsi="Times New Roman" w:eastAsia="仿宋_GB2312" w:cs="Times New Roman"/>
          <w:sz w:val="32"/>
          <w:szCs w:val="32"/>
          <w:lang w:eastAsia="zh-CN"/>
        </w:rPr>
        <w:t>市场</w:t>
      </w:r>
      <w:r>
        <w:rPr>
          <w:rFonts w:hint="default" w:eastAsia="仿宋_GB2312"/>
          <w:sz w:val="32"/>
          <w:szCs w:val="32"/>
          <w:lang w:eastAsia="zh-CN"/>
        </w:rPr>
        <w:t>销售</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CPU、</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GPU与赛灵思FPGA时，交易双方和集中后实体不得：</w:t>
      </w:r>
    </w:p>
    <w:p>
      <w:pPr>
        <w:pStyle w:val="47"/>
        <w:keepLines w:val="0"/>
        <w:pageBreakBefore w:val="0"/>
        <w:widowControl/>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仿宋_GB2312" w:cs="Times New Roman"/>
          <w:color w:val="000000"/>
          <w:sz w:val="32"/>
          <w:szCs w:val="32"/>
          <w:lang w:eastAsia="zh-CN"/>
        </w:rPr>
      </w:pPr>
      <w:bookmarkStart w:id="0" w:name="_cp_text_1_41"/>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）以任何方式</w:t>
      </w:r>
      <w:r>
        <w:rPr>
          <w:rFonts w:hint="default" w:eastAsia="仿宋_GB2312" w:cs="Times New Roman"/>
          <w:color w:val="000000"/>
          <w:sz w:val="32"/>
          <w:szCs w:val="32"/>
          <w:lang w:eastAsia="zh-CN"/>
        </w:rPr>
        <w:t>强制</w:t>
      </w:r>
      <w:r>
        <w:rPr>
          <w:rFonts w:hint="default" w:ascii="Times New Roman" w:hAnsi="Times New Roman" w:eastAsia="仿宋_GB2312" w:cs="Times New Roman"/>
          <w:color w:val="000000"/>
          <w:sz w:val="32"/>
          <w:szCs w:val="32"/>
          <w:lang w:eastAsia="zh-CN"/>
        </w:rPr>
        <w:t>进行搭售，或者附加任何其他不合理的交易条件；</w:t>
      </w:r>
    </w:p>
    <w:p>
      <w:pPr>
        <w:pStyle w:val="47"/>
        <w:keepLines w:val="0"/>
        <w:pageBreakBefore w:val="0"/>
        <w:widowControl/>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）阻碍或限制客户单独购买或使用上述产品</w:t>
      </w:r>
      <w:r>
        <w:rPr>
          <w:rFonts w:hint="default" w:eastAsia="仿宋_GB2312" w:cs="Times New Roman"/>
          <w:color w:val="000000"/>
          <w:sz w:val="32"/>
          <w:szCs w:val="32"/>
          <w:lang w:eastAsia="zh-CN"/>
        </w:rPr>
        <w:t>；</w:t>
      </w:r>
    </w:p>
    <w:p>
      <w:pPr>
        <w:pStyle w:val="47"/>
        <w:keepLines w:val="0"/>
        <w:pageBreakBefore w:val="0"/>
        <w:widowControl/>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）在服务水平、价格、软件功能等方面歧视单独购买上述产品的客户。</w:t>
      </w:r>
    </w:p>
    <w:bookmarkEnd w:id="0"/>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 xml:space="preserve">2. </w:t>
      </w:r>
      <w:r>
        <w:rPr>
          <w:rFonts w:hint="default" w:eastAsia="仿宋_GB2312" w:cs="Times New Roman"/>
          <w:sz w:val="32"/>
          <w:szCs w:val="32"/>
          <w:lang w:val="en-US" w:eastAsia="zh-CN"/>
        </w:rPr>
        <w:t xml:space="preserve"> </w:t>
      </w:r>
      <w:r>
        <w:rPr>
          <w:rFonts w:hint="default" w:eastAsia="仿宋_GB2312"/>
          <w:sz w:val="32"/>
          <w:szCs w:val="32"/>
          <w:lang w:eastAsia="zh-CN"/>
        </w:rPr>
        <w:t>交易双方和集中后实体将在与中国境内企业既有合作基础上，进一步推进相关合作，并依据公平、合理、无歧视原则，向中国境内</w:t>
      </w:r>
      <w:r>
        <w:rPr>
          <w:rFonts w:hint="default" w:ascii="Times New Roman" w:hAnsi="Times New Roman" w:eastAsia="仿宋_GB2312" w:cs="Times New Roman"/>
          <w:sz w:val="32"/>
          <w:szCs w:val="32"/>
          <w:lang w:eastAsia="zh-CN"/>
        </w:rPr>
        <w:t>市场</w:t>
      </w:r>
      <w:r>
        <w:rPr>
          <w:rFonts w:hint="default" w:eastAsia="仿宋_GB2312"/>
          <w:sz w:val="32"/>
          <w:szCs w:val="32"/>
          <w:lang w:eastAsia="zh-CN"/>
        </w:rPr>
        <w:t>继续供应</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CPU、</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GPU、赛灵思FPGA和相关软件、配件，包括</w:t>
      </w:r>
      <w:r>
        <w:rPr>
          <w:rFonts w:hint="default" w:ascii="Times New Roman" w:hAnsi="Times New Roman" w:eastAsia="仿宋_GB2312" w:cs="Times New Roman"/>
          <w:sz w:val="32"/>
          <w:szCs w:val="32"/>
          <w:lang w:eastAsia="zh-CN"/>
        </w:rPr>
        <w:t>但不限于</w:t>
      </w:r>
      <w:r>
        <w:rPr>
          <w:rFonts w:hint="default" w:eastAsia="仿宋_GB2312"/>
          <w:sz w:val="32"/>
          <w:szCs w:val="32"/>
          <w:lang w:eastAsia="zh-CN"/>
        </w:rPr>
        <w:t>：</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（1）继续履行与客户签署的现行有效的商业协议，除非客户自行决定终止；</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（2）在同等条件下，不得就价格、交货期、售后服务等交易条件对客户实行差别待遇；</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（3）不得拒绝、限制或拖延对客户提供</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CPU、</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GPU、赛灵思FPGA及服务；</w:t>
      </w:r>
    </w:p>
    <w:p>
      <w:pPr>
        <w:adjustRightInd w:val="0"/>
        <w:spacing w:after="0" w:afterLines="0" w:line="594" w:lineRule="exact"/>
        <w:ind w:firstLine="640" w:firstLineChars="200"/>
        <w:rPr>
          <w:rFonts w:hint="default" w:ascii="Times New Roman" w:hAnsi="Times New Roman" w:eastAsia="仿宋_GB2312" w:cs="Times New Roman"/>
          <w:sz w:val="32"/>
          <w:szCs w:val="32"/>
          <w:lang w:eastAsia="zh-CN"/>
        </w:rPr>
      </w:pPr>
      <w:r>
        <w:rPr>
          <w:rFonts w:hint="default" w:eastAsia="仿宋_GB2312"/>
          <w:sz w:val="32"/>
          <w:szCs w:val="32"/>
          <w:lang w:eastAsia="zh-CN"/>
        </w:rPr>
        <w:t>（4）确保对客户的</w:t>
      </w:r>
      <w:bookmarkStart w:id="1" w:name="_cp_text_1_110"/>
      <w:r>
        <w:rPr>
          <w:rFonts w:hint="default" w:ascii="Times New Roman" w:hAnsi="Times New Roman" w:eastAsia="仿宋_GB2312" w:cs="Times New Roman"/>
          <w:sz w:val="32"/>
          <w:szCs w:val="32"/>
          <w:lang w:eastAsia="zh-CN"/>
        </w:rPr>
        <w:t>价格、货期、服务水平等交易条件不得低于交易前。</w:t>
      </w:r>
    </w:p>
    <w:p>
      <w:pPr>
        <w:adjustRightInd w:val="0"/>
        <w:spacing w:after="0" w:afterLines="0" w:line="594" w:lineRule="exact"/>
        <w:ind w:firstLine="640" w:firstLineChars="200"/>
        <w:rPr>
          <w:rFonts w:hint="default" w:ascii="Times New Roman" w:hAnsi="Times New Roman" w:eastAsia="仿宋_GB2312" w:cs="Times New Roman"/>
          <w:sz w:val="32"/>
          <w:szCs w:val="32"/>
          <w:lang w:eastAsia="zh-CN"/>
        </w:rPr>
      </w:pPr>
      <w:r>
        <w:rPr>
          <w:rFonts w:hint="default" w:eastAsia="仿宋_GB2312"/>
          <w:sz w:val="32"/>
          <w:szCs w:val="32"/>
          <w:lang w:eastAsia="zh-CN"/>
        </w:rPr>
        <w:t>（5）将在中国境内CPU、GPU和FPGA</w:t>
      </w:r>
      <w:r>
        <w:rPr>
          <w:rFonts w:hint="default" w:ascii="Times New Roman" w:hAnsi="Times New Roman" w:eastAsia="仿宋_GB2312" w:cs="Times New Roman"/>
          <w:sz w:val="32"/>
          <w:szCs w:val="32"/>
          <w:lang w:eastAsia="zh-CN"/>
        </w:rPr>
        <w:t>领域</w:t>
      </w:r>
      <w:r>
        <w:rPr>
          <w:rFonts w:hint="default" w:eastAsia="仿宋_GB2312" w:cs="Times New Roman"/>
          <w:sz w:val="32"/>
          <w:szCs w:val="32"/>
          <w:lang w:eastAsia="zh-CN"/>
        </w:rPr>
        <w:t>以不低于交易前的水平</w:t>
      </w:r>
      <w:r>
        <w:rPr>
          <w:rFonts w:hint="default" w:eastAsia="仿宋_GB2312"/>
          <w:sz w:val="32"/>
          <w:szCs w:val="32"/>
          <w:lang w:eastAsia="zh-CN"/>
        </w:rPr>
        <w:t>投入研发</w:t>
      </w:r>
      <w:r>
        <w:rPr>
          <w:rFonts w:hint="default" w:ascii="Times New Roman" w:hAnsi="Times New Roman" w:eastAsia="仿宋_GB2312" w:cs="Times New Roman"/>
          <w:sz w:val="32"/>
          <w:szCs w:val="32"/>
          <w:lang w:eastAsia="zh-CN"/>
        </w:rPr>
        <w:t>，不得</w:t>
      </w:r>
      <w:r>
        <w:rPr>
          <w:rFonts w:hint="default" w:eastAsia="仿宋_GB2312"/>
          <w:sz w:val="32"/>
          <w:szCs w:val="32"/>
          <w:lang w:eastAsia="zh-CN"/>
        </w:rPr>
        <w:t>实质性改变交易前的商业模式。</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 xml:space="preserve">3. </w:t>
      </w:r>
      <w:r>
        <w:rPr>
          <w:rFonts w:hint="default" w:eastAsia="仿宋_GB2312" w:cs="Times New Roman"/>
          <w:sz w:val="32"/>
          <w:szCs w:val="32"/>
          <w:lang w:val="en-US" w:eastAsia="zh-CN"/>
        </w:rPr>
        <w:t xml:space="preserve"> </w:t>
      </w:r>
      <w:r>
        <w:rPr>
          <w:rFonts w:hint="default" w:eastAsia="仿宋_GB2312"/>
          <w:sz w:val="32"/>
          <w:szCs w:val="32"/>
          <w:lang w:eastAsia="zh-CN"/>
        </w:rPr>
        <w:t>交易双方和集中后实体应确保赛灵思FPGA 的灵活性和可编程性，包括</w:t>
      </w:r>
      <w:r>
        <w:rPr>
          <w:rFonts w:hint="default" w:ascii="Times New Roman" w:hAnsi="Times New Roman" w:eastAsia="仿宋_GB2312" w:cs="Times New Roman"/>
          <w:sz w:val="32"/>
          <w:szCs w:val="32"/>
          <w:lang w:eastAsia="zh-CN"/>
        </w:rPr>
        <w:t>但不限于</w:t>
      </w:r>
      <w:r>
        <w:rPr>
          <w:rFonts w:hint="default" w:eastAsia="仿宋_GB2312"/>
          <w:sz w:val="32"/>
          <w:szCs w:val="32"/>
          <w:lang w:eastAsia="zh-CN"/>
        </w:rPr>
        <w:t>：</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（1）</w:t>
      </w:r>
      <w:r>
        <w:rPr>
          <w:rFonts w:hint="default" w:ascii="Times New Roman" w:hAnsi="Times New Roman" w:eastAsia="仿宋_GB2312" w:cs="Times New Roman"/>
          <w:sz w:val="32"/>
          <w:szCs w:val="32"/>
          <w:lang w:eastAsia="zh-CN"/>
        </w:rPr>
        <w:t>继续开发并</w:t>
      </w:r>
      <w:r>
        <w:rPr>
          <w:rFonts w:hint="default" w:eastAsia="仿宋_GB2312"/>
          <w:sz w:val="32"/>
          <w:szCs w:val="32"/>
          <w:lang w:eastAsia="zh-CN"/>
        </w:rPr>
        <w:t>确保赛灵思FPGA产品系列的可获得性，确保其开发方式与基于ARM的处理器相兼容且符合赛灵思在交易前的计划；</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（2）在本交易后，维持赛灵思FPGA的灵活性和可编程性水平。</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w:t>
      </w:r>
      <w:r>
        <w:rPr>
          <w:rFonts w:hint="default" w:eastAsia="仿宋_GB2312"/>
          <w:sz w:val="32"/>
          <w:szCs w:val="32"/>
          <w:lang w:val="en-US" w:eastAsia="zh-CN"/>
        </w:rPr>
        <w:t>3</w:t>
      </w:r>
      <w:r>
        <w:rPr>
          <w:rFonts w:hint="default" w:eastAsia="仿宋_GB2312"/>
          <w:sz w:val="32"/>
          <w:szCs w:val="32"/>
          <w:lang w:eastAsia="zh-CN"/>
        </w:rPr>
        <w:t>）灵活性和可编程性水平是否降低由监督受托人聘请的中立技术专家评估和认定。</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 xml:space="preserve">4. </w:t>
      </w:r>
      <w:r>
        <w:rPr>
          <w:rFonts w:hint="default" w:eastAsia="仿宋_GB2312" w:cs="Times New Roman"/>
          <w:sz w:val="32"/>
          <w:szCs w:val="32"/>
          <w:lang w:val="en-US" w:eastAsia="zh-CN"/>
        </w:rPr>
        <w:t xml:space="preserve"> </w:t>
      </w:r>
      <w:r>
        <w:rPr>
          <w:rFonts w:hint="default" w:eastAsia="仿宋_GB2312"/>
          <w:sz w:val="32"/>
          <w:szCs w:val="32"/>
          <w:lang w:eastAsia="zh-CN"/>
        </w:rPr>
        <w:t>交易双方和集中后实体应继续保证向中国境内</w:t>
      </w:r>
      <w:r>
        <w:rPr>
          <w:rFonts w:hint="default" w:ascii="Times New Roman" w:hAnsi="Times New Roman" w:eastAsia="仿宋_GB2312" w:cs="Times New Roman"/>
          <w:sz w:val="32"/>
          <w:szCs w:val="32"/>
          <w:lang w:eastAsia="zh-CN"/>
        </w:rPr>
        <w:t>市场</w:t>
      </w:r>
      <w:r>
        <w:rPr>
          <w:rFonts w:hint="default" w:eastAsia="仿宋_GB2312"/>
          <w:sz w:val="32"/>
          <w:szCs w:val="32"/>
          <w:lang w:eastAsia="zh-CN"/>
        </w:rPr>
        <w:t>销售的</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CPU、</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GPU</w:t>
      </w:r>
      <w:r>
        <w:rPr>
          <w:rFonts w:hint="default" w:ascii="Times New Roman" w:hAnsi="Times New Roman" w:eastAsia="仿宋_GB2312" w:cs="Times New Roman"/>
          <w:sz w:val="32"/>
          <w:szCs w:val="32"/>
          <w:lang w:eastAsia="zh-CN"/>
        </w:rPr>
        <w:t>、赛灵思</w:t>
      </w:r>
      <w:r>
        <w:rPr>
          <w:rFonts w:hint="default" w:eastAsia="仿宋_GB2312"/>
          <w:sz w:val="32"/>
          <w:szCs w:val="32"/>
          <w:lang w:eastAsia="zh-CN"/>
        </w:rPr>
        <w:t>FPGA与第三方CPU、GPU</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FPGA</w:t>
      </w:r>
      <w:r>
        <w:rPr>
          <w:rFonts w:hint="default" w:eastAsia="仿宋_GB2312"/>
          <w:sz w:val="32"/>
          <w:szCs w:val="32"/>
          <w:lang w:eastAsia="zh-CN"/>
        </w:rPr>
        <w:t>的互操作性，包括</w:t>
      </w:r>
      <w:r>
        <w:rPr>
          <w:rFonts w:hint="default" w:ascii="Times New Roman" w:hAnsi="Times New Roman" w:eastAsia="仿宋_GB2312" w:cs="Times New Roman"/>
          <w:sz w:val="32"/>
          <w:szCs w:val="32"/>
          <w:lang w:eastAsia="zh-CN"/>
        </w:rPr>
        <w:t>但不限于</w:t>
      </w:r>
      <w:r>
        <w:rPr>
          <w:rFonts w:hint="default" w:eastAsia="仿宋_GB2312"/>
          <w:sz w:val="32"/>
          <w:szCs w:val="32"/>
          <w:lang w:eastAsia="zh-CN"/>
        </w:rPr>
        <w:t>：</w:t>
      </w:r>
    </w:p>
    <w:p>
      <w:pPr>
        <w:adjustRightInd w:val="0"/>
        <w:spacing w:after="0" w:afterLines="0" w:line="594" w:lineRule="exact"/>
        <w:ind w:left="0" w:leftChars="0" w:firstLine="640" w:firstLineChars="200"/>
        <w:rPr>
          <w:rFonts w:hint="default" w:eastAsia="仿宋_GB2312"/>
          <w:sz w:val="32"/>
          <w:szCs w:val="32"/>
          <w:lang w:eastAsia="zh-CN"/>
        </w:rPr>
      </w:pPr>
      <w:r>
        <w:rPr>
          <w:rFonts w:hint="default" w:eastAsia="仿宋_GB2312"/>
          <w:sz w:val="32"/>
          <w:szCs w:val="32"/>
          <w:lang w:eastAsia="zh-CN"/>
        </w:rPr>
        <w:t>（1）</w:t>
      </w:r>
      <w:r>
        <w:rPr>
          <w:rFonts w:hint="default" w:ascii="Times New Roman" w:hAnsi="Times New Roman" w:eastAsia="仿宋_GB2312" w:cs="Times New Roman"/>
          <w:sz w:val="32"/>
          <w:szCs w:val="32"/>
          <w:lang w:eastAsia="zh-CN"/>
        </w:rPr>
        <w:t>超威</w:t>
      </w:r>
      <w:r>
        <w:rPr>
          <w:rFonts w:hint="default" w:ascii="Times New Roman" w:hAnsi="Times New Roman" w:eastAsia="仿宋_GB2312" w:cs="Times New Roman"/>
          <w:sz w:val="32"/>
          <w:szCs w:val="32"/>
          <w:lang w:val="en-US" w:eastAsia="zh-CN"/>
        </w:rPr>
        <w:t>CPU、</w:t>
      </w:r>
      <w:r>
        <w:rPr>
          <w:rFonts w:hint="default" w:eastAsia="仿宋_GB2312" w:cs="Times New Roman"/>
          <w:color w:val="000000"/>
          <w:sz w:val="32"/>
          <w:szCs w:val="32"/>
          <w:lang w:eastAsia="zh-CN"/>
        </w:rPr>
        <w:t>超威</w:t>
      </w:r>
      <w:r>
        <w:rPr>
          <w:rFonts w:hint="default" w:ascii="Times New Roman" w:hAnsi="Times New Roman" w:eastAsia="仿宋_GB2312" w:cs="Times New Roman"/>
          <w:color w:val="000000"/>
          <w:sz w:val="32"/>
          <w:szCs w:val="32"/>
          <w:lang w:eastAsia="zh-CN"/>
        </w:rPr>
        <w:t>GPU与第三方</w:t>
      </w:r>
      <w:r>
        <w:rPr>
          <w:rFonts w:hint="default" w:eastAsia="仿宋_GB2312" w:cs="Times New Roman"/>
          <w:color w:val="000000"/>
          <w:sz w:val="32"/>
          <w:szCs w:val="32"/>
          <w:lang w:val="en-US" w:eastAsia="zh-CN"/>
        </w:rPr>
        <w:t>FPGA</w:t>
      </w:r>
      <w:r>
        <w:rPr>
          <w:rFonts w:hint="default" w:ascii="Times New Roman" w:hAnsi="Times New Roman" w:eastAsia="仿宋_GB2312" w:cs="Times New Roman"/>
          <w:color w:val="000000"/>
          <w:sz w:val="32"/>
          <w:szCs w:val="32"/>
          <w:lang w:eastAsia="zh-CN"/>
        </w:rPr>
        <w:t>的互操作性</w:t>
      </w:r>
      <w:r>
        <w:rPr>
          <w:rFonts w:hint="default" w:eastAsia="仿宋_GB2312" w:cs="Times New Roman"/>
          <w:color w:val="000000"/>
          <w:sz w:val="32"/>
          <w:szCs w:val="32"/>
          <w:lang w:eastAsia="zh-CN"/>
        </w:rPr>
        <w:t>以及赛灵思</w:t>
      </w:r>
      <w:r>
        <w:rPr>
          <w:rFonts w:hint="default" w:eastAsia="仿宋_GB2312" w:cs="Times New Roman"/>
          <w:color w:val="000000"/>
          <w:sz w:val="32"/>
          <w:szCs w:val="32"/>
          <w:lang w:val="en-US" w:eastAsia="zh-CN"/>
        </w:rPr>
        <w:t>FPGA与第三方CPU、GPU的互操作性</w:t>
      </w:r>
      <w:r>
        <w:rPr>
          <w:rFonts w:hint="default" w:ascii="Times New Roman" w:hAnsi="Times New Roman" w:eastAsia="仿宋_GB2312" w:cs="Times New Roman"/>
          <w:color w:val="000000"/>
          <w:sz w:val="32"/>
          <w:szCs w:val="32"/>
          <w:lang w:eastAsia="zh-CN"/>
        </w:rPr>
        <w:t>不低于</w:t>
      </w:r>
      <w:r>
        <w:rPr>
          <w:rFonts w:hint="default" w:eastAsia="仿宋_GB2312" w:cs="Times New Roman"/>
          <w:color w:val="000000"/>
          <w:sz w:val="32"/>
          <w:szCs w:val="32"/>
          <w:lang w:eastAsia="zh-CN"/>
        </w:rPr>
        <w:t>超威</w:t>
      </w:r>
      <w:r>
        <w:rPr>
          <w:rFonts w:hint="default" w:eastAsia="仿宋_GB2312" w:cs="Times New Roman"/>
          <w:color w:val="000000"/>
          <w:sz w:val="32"/>
          <w:szCs w:val="32"/>
          <w:lang w:val="en-US" w:eastAsia="zh-CN"/>
        </w:rPr>
        <w:t>CPU、超威GPU与赛灵思FPGA</w:t>
      </w:r>
      <w:r>
        <w:rPr>
          <w:rFonts w:hint="default" w:ascii="Times New Roman" w:hAnsi="Times New Roman" w:eastAsia="仿宋_GB2312" w:cs="Times New Roman"/>
          <w:color w:val="000000"/>
          <w:sz w:val="32"/>
          <w:szCs w:val="32"/>
          <w:lang w:eastAsia="zh-CN"/>
        </w:rPr>
        <w:t>的互操作性水平；</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（2）交易双方和集中后实体关于</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CPU、</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GPU和赛灵思FPGA通过PCIe</w:t>
      </w:r>
      <w:r>
        <w:rPr>
          <w:rFonts w:hint="default" w:ascii="Times New Roman" w:hAnsi="Times New Roman" w:eastAsia="仿宋_GB2312" w:cs="Times New Roman"/>
          <w:sz w:val="32"/>
          <w:szCs w:val="32"/>
          <w:lang w:eastAsia="zh-CN"/>
        </w:rPr>
        <w:t>以及</w:t>
      </w:r>
      <w:r>
        <w:rPr>
          <w:rFonts w:hint="default" w:eastAsia="仿宋_GB2312"/>
          <w:sz w:val="32"/>
          <w:szCs w:val="32"/>
          <w:lang w:eastAsia="zh-CN"/>
        </w:rPr>
        <w:t>后继多供应商协议的互操作性升级相关信息、功能和样品应当于升级后90天内提供给第三方CPU、GPU、FPGA制造商；</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（3）确保第三方</w:t>
      </w:r>
      <w:r>
        <w:rPr>
          <w:rFonts w:hint="default" w:ascii="Times New Roman" w:hAnsi="Times New Roman" w:eastAsia="仿宋_GB2312" w:cs="Times New Roman"/>
          <w:sz w:val="32"/>
          <w:szCs w:val="32"/>
          <w:lang w:eastAsia="zh-CN"/>
        </w:rPr>
        <w:t>CPU、GPU、</w:t>
      </w:r>
      <w:r>
        <w:rPr>
          <w:rFonts w:hint="default" w:eastAsia="仿宋_GB2312"/>
          <w:sz w:val="32"/>
          <w:szCs w:val="32"/>
          <w:lang w:eastAsia="zh-CN"/>
        </w:rPr>
        <w:t>FPGA能够继续通过PCIe</w:t>
      </w:r>
      <w:r>
        <w:rPr>
          <w:rFonts w:hint="default" w:ascii="Times New Roman" w:hAnsi="Times New Roman" w:eastAsia="仿宋_GB2312" w:cs="Times New Roman"/>
          <w:sz w:val="32"/>
          <w:szCs w:val="32"/>
          <w:lang w:eastAsia="zh-CN"/>
        </w:rPr>
        <w:t>以及</w:t>
      </w:r>
      <w:r>
        <w:rPr>
          <w:rFonts w:hint="default" w:eastAsia="仿宋_GB2312"/>
          <w:sz w:val="32"/>
          <w:szCs w:val="32"/>
          <w:lang w:eastAsia="zh-CN"/>
        </w:rPr>
        <w:t>后继多供应商协议对接</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CPU、</w:t>
      </w:r>
      <w:r>
        <w:rPr>
          <w:rFonts w:hint="default" w:ascii="Times New Roman" w:hAnsi="Times New Roman" w:eastAsia="仿宋_GB2312" w:cs="Times New Roman"/>
          <w:sz w:val="32"/>
          <w:szCs w:val="32"/>
          <w:lang w:eastAsia="zh-CN"/>
        </w:rPr>
        <w:t>超威</w:t>
      </w:r>
      <w:r>
        <w:rPr>
          <w:rFonts w:hint="default" w:eastAsia="仿宋_GB2312"/>
          <w:sz w:val="32"/>
          <w:szCs w:val="32"/>
          <w:lang w:eastAsia="zh-CN"/>
        </w:rPr>
        <w:t>GPU</w:t>
      </w:r>
      <w:r>
        <w:rPr>
          <w:rFonts w:hint="default" w:ascii="Times New Roman" w:hAnsi="Times New Roman" w:eastAsia="仿宋_GB2312" w:cs="Times New Roman"/>
          <w:sz w:val="32"/>
          <w:szCs w:val="32"/>
          <w:lang w:eastAsia="zh-CN"/>
        </w:rPr>
        <w:t>、赛灵思FPGA</w:t>
      </w:r>
      <w:r>
        <w:rPr>
          <w:rFonts w:hint="default" w:eastAsia="仿宋_GB2312"/>
          <w:sz w:val="32"/>
          <w:szCs w:val="32"/>
          <w:lang w:eastAsia="zh-CN"/>
        </w:rPr>
        <w:t xml:space="preserve">的硬件接口、相关固件和软件； </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（4）互操作性水平是否降低由监督受托人聘请的中立技术专家评估和认定。</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5.</w:t>
      </w:r>
      <w:r>
        <w:rPr>
          <w:rFonts w:hint="default" w:eastAsia="仿宋_GB2312" w:cs="Times New Roman"/>
          <w:sz w:val="32"/>
          <w:szCs w:val="32"/>
          <w:lang w:val="en-US" w:eastAsia="zh-CN"/>
        </w:rPr>
        <w:t xml:space="preserve"> </w:t>
      </w:r>
      <w:r>
        <w:rPr>
          <w:rFonts w:hint="default" w:eastAsia="仿宋_GB2312"/>
          <w:sz w:val="32"/>
          <w:szCs w:val="32"/>
          <w:lang w:eastAsia="zh-CN"/>
        </w:rPr>
        <w:t>交易双方和集中后实体将对第三方CPU、GPU和FPGA制造商的信息采取保护措施，包括但不限于：</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（1）与第三方CPU、GPU和FPGA制造商签订保密协议，在协议中明确列出保密信息范围、允许获得保密信息的员工名单和违反保密协议的处罚措施；</w:t>
      </w:r>
    </w:p>
    <w:p>
      <w:pPr>
        <w:adjustRightInd w:val="0"/>
        <w:spacing w:after="0" w:afterLines="0" w:line="594" w:lineRule="exact"/>
        <w:ind w:firstLine="640" w:firstLineChars="200"/>
        <w:rPr>
          <w:rFonts w:hint="default" w:eastAsia="仿宋_GB2312"/>
          <w:sz w:val="32"/>
          <w:szCs w:val="32"/>
          <w:lang w:eastAsia="zh-CN"/>
        </w:rPr>
      </w:pPr>
      <w:r>
        <w:rPr>
          <w:rFonts w:hint="default" w:eastAsia="仿宋_GB2312"/>
          <w:sz w:val="32"/>
          <w:szCs w:val="32"/>
          <w:lang w:eastAsia="zh-CN"/>
        </w:rPr>
        <w:t>（2）确保仅必要且获得授权的人员接触第三方CPU、GPU和FPGA制造商的保密信息；</w:t>
      </w:r>
    </w:p>
    <w:p>
      <w:pPr>
        <w:pStyle w:val="47"/>
        <w:numPr>
          <w:ilvl w:val="0"/>
          <w:numId w:val="0"/>
        </w:numPr>
        <w:adjustRightInd/>
        <w:spacing w:after="0" w:afterLines="0" w:line="594"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（3）将第三方CPU、GPU和FPGA制造商的保密信息</w:t>
      </w:r>
      <w:r>
        <w:rPr>
          <w:rFonts w:hint="default" w:ascii="Times New Roman" w:hAnsi="Times New Roman" w:eastAsia="仿宋_GB2312" w:cs="Times New Roman"/>
          <w:color w:val="000000"/>
          <w:sz w:val="32"/>
          <w:szCs w:val="32"/>
          <w:lang w:val="en-US" w:eastAsia="zh-CN"/>
        </w:rPr>
        <w:t>分别储存在独立且互不相通的硬件系统中；</w:t>
      </w:r>
    </w:p>
    <w:p>
      <w:pPr>
        <w:adjustRightInd w:val="0"/>
        <w:spacing w:after="0" w:afterLines="0" w:line="594" w:lineRule="exact"/>
        <w:ind w:firstLine="640" w:firstLineChars="200"/>
        <w:rPr>
          <w:rFonts w:hint="default" w:ascii="Times New Roman" w:hAnsi="Times New Roman" w:eastAsia="仿宋_GB2312" w:cs="Times New Roman"/>
          <w:sz w:val="32"/>
          <w:szCs w:val="32"/>
          <w:lang w:eastAsia="zh-CN"/>
        </w:rPr>
      </w:pPr>
      <w:r>
        <w:rPr>
          <w:rFonts w:hint="default" w:eastAsia="仿宋_GB2312"/>
          <w:sz w:val="32"/>
          <w:szCs w:val="32"/>
          <w:lang w:eastAsia="zh-CN"/>
        </w:rPr>
        <w:t>（4）</w:t>
      </w:r>
      <w:r>
        <w:rPr>
          <w:rFonts w:hint="default" w:ascii="Times New Roman" w:hAnsi="Times New Roman" w:eastAsia="仿宋_GB2312" w:cs="Times New Roman"/>
          <w:sz w:val="32"/>
          <w:szCs w:val="32"/>
          <w:lang w:eastAsia="zh-CN"/>
        </w:rPr>
        <w:t>定期对管理层以及员工进行培训，确保其理解信息保密的范围和具体规则，并确保公司能对违反保密协议的处罚承担责任。</w:t>
      </w:r>
    </w:p>
    <w:p>
      <w:pPr>
        <w:adjustRightInd w:val="0"/>
        <w:spacing w:after="0" w:afterLines="0" w:line="594" w:lineRule="exact"/>
        <w:ind w:firstLine="640" w:firstLineChars="200"/>
        <w:rPr>
          <w:rFonts w:hint="default" w:ascii="Times New Roman" w:hAnsi="Times New Roman" w:eastAsia="仿宋_GB2312" w:cs="Times New Roman"/>
          <w:sz w:val="32"/>
          <w:szCs w:val="32"/>
          <w:lang w:eastAsia="zh-CN"/>
        </w:rPr>
      </w:pPr>
    </w:p>
    <w:bookmarkEnd w:id="1"/>
    <w:p>
      <w:pPr>
        <w:pStyle w:val="63"/>
        <w:spacing w:before="327" w:beforeLines="100" w:after="327" w:afterLines="100" w:line="594" w:lineRule="exact"/>
        <w:ind w:firstLine="0" w:firstLineChars="0"/>
        <w:jc w:val="center"/>
        <w:rPr>
          <w:rFonts w:hint="default" w:eastAsia="黑体"/>
          <w:b w:val="0"/>
          <w:bCs/>
          <w:sz w:val="32"/>
          <w:szCs w:val="32"/>
          <w:lang w:eastAsia="zh-CN"/>
        </w:rPr>
      </w:pPr>
      <w:r>
        <w:rPr>
          <w:rFonts w:hint="default" w:eastAsia="黑体"/>
          <w:b w:val="0"/>
          <w:bCs/>
          <w:sz w:val="32"/>
          <w:szCs w:val="32"/>
          <w:lang w:eastAsia="zh-CN"/>
        </w:rPr>
        <w:t>第三部分</w:t>
      </w:r>
      <w:r>
        <w:rPr>
          <w:rFonts w:hint="default" w:eastAsia="黑体"/>
          <w:b w:val="0"/>
          <w:bCs/>
          <w:sz w:val="32"/>
          <w:szCs w:val="32"/>
          <w:lang w:val="en-US" w:eastAsia="zh-CN"/>
        </w:rPr>
        <w:t xml:space="preserve"> </w:t>
      </w:r>
      <w:r>
        <w:rPr>
          <w:rFonts w:hint="default" w:ascii="Times New Roman" w:hAnsi="Times New Roman" w:eastAsia="黑体" w:cs="Times New Roman"/>
          <w:b w:val="0"/>
          <w:bCs/>
          <w:sz w:val="32"/>
          <w:szCs w:val="32"/>
          <w:lang w:eastAsia="zh-CN"/>
        </w:rPr>
        <w:t>定期报告</w:t>
      </w:r>
    </w:p>
    <w:p>
      <w:pPr>
        <w:pStyle w:val="86"/>
        <w:numPr>
          <w:ilvl w:val="0"/>
          <w:numId w:val="1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自生效日起，交易双方和集中后实体应每半年向市场监管总局报告本承诺方案的履行情况，直至本承诺方案的各项限制性条件终止。</w:t>
      </w:r>
    </w:p>
    <w:p>
      <w:pPr>
        <w:pStyle w:val="86"/>
        <w:numPr>
          <w:ilvl w:val="0"/>
          <w:numId w:val="1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为履行本承诺方案，交易双方和集中后实体应制定履行方案并提交市场监管总局审查，并在市场监管总局批准后执行。</w:t>
      </w:r>
    </w:p>
    <w:p>
      <w:pPr>
        <w:keepNext/>
        <w:tabs>
          <w:tab w:val="left" w:pos="720"/>
        </w:tabs>
        <w:spacing w:before="327" w:beforeLines="100" w:after="327" w:afterLines="100" w:line="594" w:lineRule="exact"/>
        <w:ind w:firstLine="0" w:firstLineChars="0"/>
        <w:jc w:val="center"/>
        <w:rPr>
          <w:rFonts w:hint="default" w:eastAsia="黑体"/>
          <w:b w:val="0"/>
          <w:bCs/>
          <w:caps/>
          <w:sz w:val="32"/>
          <w:szCs w:val="32"/>
          <w:lang w:eastAsia="zh-CN"/>
        </w:rPr>
      </w:pPr>
      <w:r>
        <w:rPr>
          <w:rFonts w:hint="default" w:eastAsia="黑体"/>
          <w:b w:val="0"/>
          <w:bCs/>
          <w:caps/>
          <w:sz w:val="32"/>
          <w:szCs w:val="32"/>
          <w:lang w:eastAsia="zh-CN"/>
        </w:rPr>
        <w:t>第四部分</w:t>
      </w:r>
      <w:r>
        <w:rPr>
          <w:rFonts w:hint="default" w:eastAsia="黑体"/>
          <w:b w:val="0"/>
          <w:bCs/>
          <w:caps/>
          <w:sz w:val="32"/>
          <w:szCs w:val="32"/>
          <w:lang w:val="en-US" w:eastAsia="zh-CN"/>
        </w:rPr>
        <w:t xml:space="preserve"> </w:t>
      </w:r>
      <w:r>
        <w:rPr>
          <w:rFonts w:hint="default" w:eastAsia="黑体"/>
          <w:b w:val="0"/>
          <w:bCs/>
          <w:caps/>
          <w:sz w:val="32"/>
          <w:szCs w:val="32"/>
          <w:lang w:eastAsia="zh-CN"/>
        </w:rPr>
        <w:t>其他事项</w:t>
      </w:r>
    </w:p>
    <w:p>
      <w:pPr>
        <w:pStyle w:val="86"/>
        <w:numPr>
          <w:ilvl w:val="0"/>
          <w:numId w:val="12"/>
        </w:numPr>
        <w:spacing w:afterLines="0" w:line="594" w:lineRule="exact"/>
        <w:ind w:left="0" w:firstLine="640"/>
        <w:jc w:val="both"/>
        <w:rPr>
          <w:rFonts w:hint="default" w:ascii="Times New Roman" w:hAnsi="Times New Roman" w:eastAsia="FangSong_GB2312" w:cs="Times New Roman"/>
          <w:b w:val="0"/>
          <w:bCs w:val="0"/>
          <w:sz w:val="32"/>
          <w:szCs w:val="32"/>
          <w:lang w:val="en-US" w:eastAsia="zh-CN"/>
        </w:rPr>
      </w:pPr>
      <w:r>
        <w:rPr>
          <w:rFonts w:hint="default" w:ascii="Times New Roman" w:hAnsi="Times New Roman" w:eastAsia="FangSong_GB2312" w:cs="Times New Roman"/>
          <w:b w:val="0"/>
          <w:bCs w:val="0"/>
          <w:sz w:val="32"/>
          <w:szCs w:val="32"/>
          <w:lang w:val="en-US" w:eastAsia="zh-CN"/>
        </w:rPr>
        <w:t>交易双方和集中后实体将委托监督受托人，监督受托人应根据《经营者集中审查暂行规定》监督交易双方和集中后实体履行限制性条件。</w:t>
      </w:r>
    </w:p>
    <w:p>
      <w:pPr>
        <w:pStyle w:val="47"/>
        <w:numPr>
          <w:ilvl w:val="0"/>
          <w:numId w:val="12"/>
        </w:numPr>
        <w:spacing w:after="0" w:afterLines="0" w:line="594" w:lineRule="exact"/>
        <w:ind w:left="0" w:firstLine="640" w:firstLineChars="0"/>
        <w:jc w:val="both"/>
        <w:rPr>
          <w:rFonts w:hint="default" w:ascii="Times New Roman" w:hAnsi="Times New Roman" w:eastAsia="FangSong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监督受托人应聘请具备相应资质、可就相关产品和技术提供意见的中立技术专家。</w:t>
      </w:r>
    </w:p>
    <w:p>
      <w:pPr>
        <w:pStyle w:val="86"/>
        <w:numPr>
          <w:ilvl w:val="0"/>
          <w:numId w:val="12"/>
        </w:numPr>
        <w:spacing w:afterLines="0" w:line="594" w:lineRule="exact"/>
        <w:ind w:left="0" w:firstLine="640"/>
        <w:jc w:val="both"/>
        <w:rPr>
          <w:rFonts w:hint="default" w:ascii="Times New Roman" w:hAnsi="Times New Roman" w:eastAsia="FangSong_GB2312" w:cs="Times New Roman"/>
          <w:b w:val="0"/>
          <w:bCs w:val="0"/>
          <w:sz w:val="32"/>
          <w:szCs w:val="32"/>
          <w:lang w:val="en-US" w:eastAsia="zh-CN"/>
        </w:rPr>
      </w:pPr>
      <w:r>
        <w:rPr>
          <w:rFonts w:hint="default" w:ascii="Times New Roman" w:hAnsi="Times New Roman" w:eastAsia="FangSong_GB2312" w:cs="Times New Roman"/>
          <w:b w:val="0"/>
          <w:bCs w:val="0"/>
          <w:sz w:val="32"/>
          <w:szCs w:val="32"/>
          <w:lang w:val="en-US" w:eastAsia="zh-CN"/>
        </w:rPr>
        <w:t>市场监管总局有权自行或者通过监督受托人监督检查交易双方和集中后实体履行上述限制性条件的情况。如违反任何限制性条件，市场监管总局可根据《反垄断法》的相关规定作出决定，交易双方和集中后实体应承担相应的法律责任。</w:t>
      </w:r>
    </w:p>
    <w:p>
      <w:pPr>
        <w:pStyle w:val="86"/>
        <w:numPr>
          <w:ilvl w:val="0"/>
          <w:numId w:val="12"/>
        </w:numPr>
        <w:spacing w:afterLines="0" w:line="594" w:lineRule="exact"/>
        <w:ind w:left="0" w:firstLine="640"/>
        <w:jc w:val="both"/>
        <w:rPr>
          <w:rFonts w:hint="default" w:ascii="Times New Roman" w:hAnsi="Times New Roman" w:eastAsia="FangSong_GB2312" w:cs="Times New Roman"/>
          <w:b w:val="0"/>
          <w:bCs w:val="0"/>
          <w:sz w:val="32"/>
          <w:szCs w:val="32"/>
          <w:lang w:val="en-US" w:eastAsia="zh-CN"/>
        </w:rPr>
      </w:pPr>
      <w:r>
        <w:rPr>
          <w:rFonts w:hint="default" w:ascii="Times New Roman" w:hAnsi="Times New Roman" w:eastAsia="FangSong_GB2312" w:cs="Times New Roman"/>
          <w:b w:val="0"/>
          <w:bCs w:val="0"/>
          <w:sz w:val="32"/>
          <w:szCs w:val="32"/>
          <w:lang w:val="en-US" w:eastAsia="zh-CN"/>
        </w:rPr>
        <w:t>所有限制性条件自生效日起六（6）年内有效。集中后实体可在承诺期届满后向市场监管总局提出解除承诺方案的申请。</w:t>
      </w:r>
    </w:p>
    <w:p>
      <w:pPr>
        <w:keepNext/>
        <w:numPr>
          <w:ilvl w:val="-1"/>
          <w:numId w:val="0"/>
        </w:numPr>
        <w:tabs>
          <w:tab w:val="left" w:pos="720"/>
        </w:tabs>
        <w:spacing w:before="327" w:beforeLines="100" w:after="327" w:afterLines="100" w:line="594" w:lineRule="exact"/>
        <w:ind w:left="0" w:leftChars="0" w:firstLine="640" w:firstLineChars="200"/>
        <w:rPr>
          <w:rFonts w:hint="default" w:eastAsia="黑体"/>
          <w:b w:val="0"/>
          <w:bCs/>
          <w:caps/>
          <w:sz w:val="32"/>
          <w:szCs w:val="32"/>
          <w:lang w:eastAsia="zh-CN"/>
        </w:rPr>
      </w:pPr>
      <w:r>
        <w:rPr>
          <w:rFonts w:hint="default" w:eastAsia="FangSong_GB2312" w:cs="Times New Roman"/>
          <w:b w:val="0"/>
          <w:bCs w:val="0"/>
          <w:sz w:val="32"/>
          <w:szCs w:val="32"/>
          <w:lang w:val="en-US" w:eastAsia="zh-CN"/>
        </w:rPr>
        <w:t xml:space="preserve">5.      </w:t>
      </w:r>
      <w:r>
        <w:rPr>
          <w:rFonts w:hint="default" w:ascii="Times New Roman" w:hAnsi="Times New Roman" w:eastAsia="FangSong_GB2312" w:cs="Times New Roman"/>
          <w:b w:val="0"/>
          <w:bCs w:val="0"/>
          <w:sz w:val="32"/>
          <w:szCs w:val="32"/>
          <w:lang w:val="en-US" w:eastAsia="zh-CN"/>
        </w:rPr>
        <w:t>限制性条件自生效日起，如果相关市场的竞争状况发生重大改变，或交易双方和集中后实体发生重大变化时，可以向市场监管总局申请变更或解除限制性条件。</w:t>
      </w:r>
    </w:p>
    <w:p>
      <w:pPr>
        <w:keepNext/>
        <w:tabs>
          <w:tab w:val="left" w:pos="720"/>
        </w:tabs>
        <w:spacing w:before="0" w:beforeLines="0" w:after="327" w:afterLines="100" w:line="594" w:lineRule="exact"/>
        <w:ind w:left="240" w:leftChars="100" w:firstLine="320" w:firstLineChars="100"/>
        <w:jc w:val="center"/>
        <w:rPr>
          <w:rFonts w:hint="default" w:eastAsia="黑体"/>
          <w:b w:val="0"/>
          <w:bCs/>
          <w:caps/>
          <w:sz w:val="32"/>
          <w:szCs w:val="32"/>
          <w:lang w:eastAsia="zh-CN"/>
        </w:rPr>
      </w:pPr>
    </w:p>
    <w:p>
      <w:pPr>
        <w:keepNext/>
        <w:tabs>
          <w:tab w:val="left" w:pos="720"/>
        </w:tabs>
        <w:spacing w:before="0" w:beforeLines="0" w:after="327" w:afterLines="100" w:line="594" w:lineRule="exact"/>
        <w:ind w:left="240" w:leftChars="100" w:firstLine="320" w:firstLineChars="100"/>
        <w:jc w:val="center"/>
        <w:rPr>
          <w:rFonts w:hint="default" w:eastAsia="黑体"/>
          <w:b w:val="0"/>
          <w:bCs/>
          <w:caps/>
          <w:sz w:val="32"/>
          <w:szCs w:val="32"/>
          <w:lang w:eastAsia="zh-CN"/>
        </w:rPr>
      </w:pPr>
      <w:r>
        <w:rPr>
          <w:rFonts w:hint="default" w:eastAsia="黑体"/>
          <w:b w:val="0"/>
          <w:bCs/>
          <w:caps/>
          <w:sz w:val="32"/>
          <w:szCs w:val="32"/>
          <w:lang w:eastAsia="zh-CN"/>
        </w:rPr>
        <w:t>第五部分</w:t>
      </w:r>
      <w:r>
        <w:rPr>
          <w:rFonts w:hint="default" w:eastAsia="黑体"/>
          <w:b w:val="0"/>
          <w:bCs/>
          <w:caps/>
          <w:sz w:val="32"/>
          <w:szCs w:val="32"/>
          <w:lang w:val="en-US" w:eastAsia="zh-CN"/>
        </w:rPr>
        <w:t xml:space="preserve"> </w:t>
      </w:r>
      <w:r>
        <w:rPr>
          <w:rFonts w:hint="default" w:eastAsia="黑体"/>
          <w:b w:val="0"/>
          <w:bCs/>
          <w:caps/>
          <w:sz w:val="32"/>
          <w:szCs w:val="32"/>
          <w:lang w:eastAsia="zh-CN"/>
        </w:rPr>
        <w:t>效力</w:t>
      </w:r>
    </w:p>
    <w:p>
      <w:pPr>
        <w:keepNext/>
        <w:tabs>
          <w:tab w:val="left" w:pos="720"/>
        </w:tabs>
        <w:spacing w:after="0" w:afterLines="0" w:line="594" w:lineRule="exact"/>
        <w:ind w:left="240" w:leftChars="100" w:firstLine="320" w:firstLineChars="100"/>
        <w:rPr>
          <w:rFonts w:hint="default" w:eastAsia="仿宋_GB2312"/>
          <w:caps/>
          <w:sz w:val="32"/>
          <w:szCs w:val="32"/>
          <w:lang w:eastAsia="zh-CN"/>
        </w:rPr>
      </w:pPr>
      <w:r>
        <w:rPr>
          <w:rFonts w:hint="default" w:eastAsia="仿宋_GB2312"/>
          <w:caps/>
          <w:sz w:val="32"/>
          <w:szCs w:val="32"/>
          <w:lang w:eastAsia="zh-CN"/>
        </w:rPr>
        <w:t>本条件自</w:t>
      </w:r>
      <w:r>
        <w:rPr>
          <w:rFonts w:hint="eastAsia" w:eastAsia="FangSong_GB2312" w:cs="Times New Roman"/>
          <w:sz w:val="32"/>
          <w:szCs w:val="32"/>
          <w:lang w:val="en-US" w:eastAsia="zh-CN"/>
        </w:rPr>
        <w:t>公告之日</w:t>
      </w:r>
      <w:r>
        <w:rPr>
          <w:rFonts w:hint="default" w:ascii="Times New Roman" w:hAnsi="Times New Roman" w:eastAsia="FangSong_GB2312" w:cs="Times New Roman"/>
          <w:sz w:val="32"/>
          <w:szCs w:val="32"/>
          <w:lang w:val="en-US" w:eastAsia="zh-CN"/>
        </w:rPr>
        <w:t>起生效。</w:t>
      </w:r>
    </w:p>
    <w:sectPr>
      <w:headerReference r:id="rId6" w:type="first"/>
      <w:headerReference r:id="rId5" w:type="default"/>
      <w:footerReference r:id="rId7" w:type="default"/>
      <w:footerReference r:id="rId8" w:type="even"/>
      <w:pgSz w:w="11907" w:h="16839"/>
      <w:pgMar w:top="1440" w:right="1440" w:bottom="1440" w:left="1440" w:header="720" w:footer="720" w:gutter="0"/>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DFKai-SB">
    <w:altName w:val="方正书宋_GBK"/>
    <w:panose1 w:val="00000000000000000000"/>
    <w:charset w:val="88"/>
    <w:family w:val="script"/>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0" w:type="auto"/>
      <w:tblInd w:w="0" w:type="dxa"/>
      <w:tblLayout w:type="fixed"/>
      <w:tblCellMar>
        <w:top w:w="0" w:type="dxa"/>
        <w:left w:w="108" w:type="dxa"/>
        <w:bottom w:w="0" w:type="dxa"/>
        <w:right w:w="108" w:type="dxa"/>
      </w:tblCellMar>
    </w:tblPr>
    <w:tblGrid>
      <w:gridCol w:w="3192"/>
      <w:gridCol w:w="3192"/>
      <w:gridCol w:w="3192"/>
    </w:tblGrid>
    <w:tr>
      <w:tblPrEx>
        <w:tblCellMar>
          <w:top w:w="0" w:type="dxa"/>
          <w:left w:w="108" w:type="dxa"/>
          <w:bottom w:w="0" w:type="dxa"/>
          <w:right w:w="108" w:type="dxa"/>
        </w:tblCellMar>
      </w:tblPrEx>
      <w:trPr>
        <w:trHeight w:val="480" w:hRule="exact"/>
      </w:trPr>
      <w:tc>
        <w:tcPr>
          <w:tcW w:w="3192" w:type="dxa"/>
          <w:vAlign w:val="bottom"/>
        </w:tcPr>
        <w:p>
          <w:pPr>
            <w:pStyle w:val="15"/>
            <w:spacing w:line="200" w:lineRule="exact"/>
            <w:jc w:val="left"/>
            <w:rPr>
              <w:rStyle w:val="55"/>
            </w:rPr>
          </w:pPr>
        </w:p>
      </w:tc>
      <w:tc>
        <w:tcPr>
          <w:tcW w:w="3192" w:type="dxa"/>
        </w:tcPr>
        <w:p>
          <w:pPr>
            <w:pStyle w:val="15"/>
            <w:jc w:val="center"/>
          </w:pPr>
          <w:r>
            <w:rPr>
              <w:rStyle w:val="27"/>
            </w:rPr>
            <w:fldChar w:fldCharType="begin"/>
          </w:r>
          <w:r>
            <w:rPr>
              <w:rStyle w:val="27"/>
            </w:rPr>
            <w:instrText xml:space="preserve"> PAGE </w:instrText>
          </w:r>
          <w:r>
            <w:rPr>
              <w:rStyle w:val="27"/>
            </w:rPr>
            <w:fldChar w:fldCharType="separate"/>
          </w:r>
          <w:r>
            <w:rPr>
              <w:rStyle w:val="27"/>
            </w:rPr>
            <w:t>3</w:t>
          </w:r>
          <w:r>
            <w:rPr>
              <w:rStyle w:val="27"/>
            </w:rPr>
            <w:fldChar w:fldCharType="end"/>
          </w:r>
        </w:p>
      </w:tc>
      <w:tc>
        <w:tcPr>
          <w:tcW w:w="3192" w:type="dxa"/>
        </w:tcPr>
        <w:p>
          <w:pPr>
            <w:pStyle w:val="15"/>
            <w:jc w:val="right"/>
            <w:rPr>
              <w:rStyle w:val="54"/>
            </w:rPr>
          </w:pPr>
          <w:r>
            <w:rPr>
              <w:rStyle w:val="54"/>
            </w:rPr>
            <w:t xml:space="preserve"> </w:t>
          </w:r>
        </w:p>
      </w:tc>
    </w:tr>
  </w:tbl>
  <w:p>
    <w:pPr>
      <w:pStyle w:val="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[FRANKFURT 395072_7]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i/>
      </w:rPr>
    </w:pPr>
    <w:r>
      <w:rPr>
        <w:i/>
      </w:rPr>
      <w:t>Privileged &amp; Confidential</w:t>
    </w:r>
  </w:p>
  <w:p>
    <w:pPr>
      <w:pStyle w:val="17"/>
      <w:wordWrap w:val="0"/>
      <w:jc w:val="right"/>
      <w:rPr>
        <w:i/>
      </w:rPr>
    </w:pPr>
    <w:r>
      <w:rPr>
        <w:i/>
      </w:rPr>
      <w:t>Outside Counsel Work Product</w:t>
    </w:r>
  </w:p>
  <w:p>
    <w:pPr>
      <w:pStyle w:val="17"/>
      <w:jc w:val="right"/>
      <w:rPr>
        <w:i/>
      </w:rPr>
    </w:pPr>
    <w:r>
      <w:rPr>
        <w:i/>
      </w:rPr>
      <w:t xml:space="preserve">  Draft on 7/12/2021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pStyle w:val="4"/>
      <w:lvlText w:val=""/>
      <w:lvlJc w:val="left"/>
      <w:pPr>
        <w:tabs>
          <w:tab w:val="left" w:pos="360"/>
        </w:tabs>
        <w:ind w:left="360" w:hanging="360"/>
      </w:pPr>
      <w:rPr>
        <w:rFonts w:hint="default" w:ascii="Symbol" w:hAnsi="Symbol"/>
      </w:rPr>
    </w:lvl>
  </w:abstractNum>
  <w:abstractNum w:abstractNumId="1">
    <w:nsid w:val="00000002"/>
    <w:multiLevelType w:val="singleLevel"/>
    <w:tmpl w:val="00000002"/>
    <w:lvl w:ilvl="0" w:tentative="0">
      <w:start w:val="1"/>
      <w:numFmt w:val="upperLetter"/>
      <w:pStyle w:val="40"/>
      <w:lvlText w:val="%1."/>
      <w:lvlJc w:val="left"/>
      <w:pPr>
        <w:tabs>
          <w:tab w:val="left" w:pos="360"/>
        </w:tabs>
        <w:ind w:left="360" w:hanging="360"/>
      </w:pPr>
    </w:lvl>
  </w:abstractNum>
  <w:abstractNum w:abstractNumId="2">
    <w:nsid w:val="00000009"/>
    <w:multiLevelType w:val="singleLevel"/>
    <w:tmpl w:val="00000009"/>
    <w:lvl w:ilvl="0" w:tentative="0">
      <w:start w:val="1"/>
      <w:numFmt w:val="bullet"/>
      <w:pStyle w:val="30"/>
      <w:lvlText w:val=""/>
      <w:lvlJc w:val="left"/>
      <w:pPr>
        <w:tabs>
          <w:tab w:val="left" w:pos="720"/>
        </w:tabs>
        <w:ind w:left="720" w:hanging="720"/>
      </w:pPr>
      <w:rPr>
        <w:rFonts w:hint="default" w:ascii="Symbol" w:hAnsi="Symbol"/>
      </w:rPr>
    </w:lvl>
  </w:abstractNum>
  <w:abstractNum w:abstractNumId="3">
    <w:nsid w:val="0000000E"/>
    <w:multiLevelType w:val="singleLevel"/>
    <w:tmpl w:val="0000000E"/>
    <w:lvl w:ilvl="0" w:tentative="0">
      <w:start w:val="1"/>
      <w:numFmt w:val="decimal"/>
      <w:pStyle w:val="39"/>
      <w:lvlText w:val="%1."/>
      <w:lvlJc w:val="left"/>
      <w:pPr>
        <w:tabs>
          <w:tab w:val="left" w:pos="720"/>
        </w:tabs>
        <w:ind w:left="720" w:hanging="720"/>
      </w:pPr>
      <w:rPr>
        <w:rFonts w:hint="default"/>
      </w:rPr>
    </w:lvl>
  </w:abstractNum>
  <w:abstractNum w:abstractNumId="4">
    <w:nsid w:val="00000011"/>
    <w:multiLevelType w:val="multilevel"/>
    <w:tmpl w:val="00000011"/>
    <w:lvl w:ilvl="0" w:tentative="0">
      <w:start w:val="1"/>
      <w:numFmt w:val="upperLetter"/>
      <w:lvlText w:val="Section %1."/>
      <w:lvlJc w:val="left"/>
      <w:pPr>
        <w:tabs>
          <w:tab w:val="left" w:pos="720"/>
        </w:tabs>
        <w:ind w:left="720" w:hanging="720"/>
      </w:pPr>
      <w:rPr>
        <w:rFonts w:hint="eastAsia"/>
        <w:b/>
        <w:i w:val="0"/>
        <w:caps/>
        <w:smallCaps w:val="0"/>
        <w:color w:val="auto"/>
        <w:sz w:val="24"/>
        <w:szCs w:val="24"/>
        <w:u w:val="none"/>
      </w:rPr>
    </w:lvl>
    <w:lvl w:ilvl="1" w:tentative="0">
      <w:start w:val="1"/>
      <w:numFmt w:val="upperLetter"/>
      <w:pStyle w:val="70"/>
      <w:lvlText w:val="%2."/>
      <w:lvlJc w:val="left"/>
      <w:pPr>
        <w:tabs>
          <w:tab w:val="left" w:pos="720"/>
        </w:tabs>
        <w:ind w:left="720" w:hanging="720"/>
      </w:pPr>
      <w:rPr>
        <w:rFonts w:ascii="Times New Roman" w:hAnsi="Times New Roman"/>
        <w:b/>
        <w:i w:val="0"/>
        <w:caps w:val="0"/>
        <w:color w:val="auto"/>
        <w:sz w:val="24"/>
        <w:szCs w:val="24"/>
        <w:u w:val="none"/>
      </w:rPr>
    </w:lvl>
    <w:lvl w:ilvl="2" w:tentative="0">
      <w:start w:val="1"/>
      <w:numFmt w:val="decimal"/>
      <w:lvlText w:val="%3."/>
      <w:lvlJc w:val="left"/>
      <w:pPr>
        <w:tabs>
          <w:tab w:val="left" w:pos="1440"/>
        </w:tabs>
        <w:ind w:left="1440" w:hanging="720"/>
      </w:pPr>
      <w:rPr>
        <w:rFonts w:ascii="Times New Roman" w:hAnsi="Times New Roman"/>
        <w:b/>
        <w:i w:val="0"/>
        <w:caps w:val="0"/>
        <w:color w:val="auto"/>
        <w:sz w:val="24"/>
        <w:szCs w:val="24"/>
        <w:u w:val="none"/>
      </w:rPr>
    </w:lvl>
    <w:lvl w:ilvl="3" w:tentative="0">
      <w:start w:val="1"/>
      <w:numFmt w:val="lowerLetter"/>
      <w:lvlText w:val="%4."/>
      <w:lvlJc w:val="left"/>
      <w:pPr>
        <w:tabs>
          <w:tab w:val="left" w:pos="1440"/>
        </w:tabs>
        <w:ind w:left="1440" w:hanging="720"/>
      </w:pPr>
      <w:rPr>
        <w:rFonts w:ascii="Times New Roman" w:hAnsi="Times New Roman"/>
        <w:b/>
        <w:i/>
        <w:caps w:val="0"/>
        <w:color w:val="auto"/>
        <w:sz w:val="40"/>
        <w:u w:val="none"/>
      </w:rPr>
    </w:lvl>
    <w:lvl w:ilvl="4" w:tentative="0">
      <w:start w:val="1"/>
      <w:numFmt w:val="lowerRoman"/>
      <w:lvlText w:val="%5."/>
      <w:lvlJc w:val="left"/>
      <w:pPr>
        <w:tabs>
          <w:tab w:val="left" w:pos="1440"/>
        </w:tabs>
        <w:ind w:left="1440" w:hanging="720"/>
      </w:pPr>
      <w:rPr>
        <w:rFonts w:ascii="Times New Roman" w:hAnsi="Times New Roman"/>
        <w:b w:val="0"/>
        <w:i w:val="0"/>
        <w:caps w:val="0"/>
        <w:color w:val="auto"/>
        <w:sz w:val="40"/>
        <w:u w:val="none"/>
      </w:rPr>
    </w:lvl>
    <w:lvl w:ilvl="5" w:tentative="0">
      <w:start w:val="1"/>
      <w:numFmt w:val="decimal"/>
      <w:lvlText w:val="%6. -"/>
      <w:lvlJc w:val="left"/>
      <w:pPr>
        <w:tabs>
          <w:tab w:val="left" w:pos="720"/>
        </w:tabs>
        <w:ind w:left="0" w:firstLine="0"/>
      </w:pPr>
      <w:rPr>
        <w:rFonts w:ascii="Times New Roman" w:hAnsi="Times New Roman"/>
        <w:b w:val="0"/>
        <w:i w:val="0"/>
        <w:caps w:val="0"/>
        <w:color w:val="auto"/>
        <w:sz w:val="40"/>
        <w:u w:val="none"/>
      </w:rPr>
    </w:lvl>
    <w:lvl w:ilvl="6" w:tentative="0">
      <w:start w:val="1"/>
      <w:numFmt w:val="decimal"/>
      <w:lvlText w:val="%7."/>
      <w:lvlJc w:val="left"/>
      <w:pPr>
        <w:tabs>
          <w:tab w:val="left" w:pos="2520"/>
        </w:tabs>
        <w:ind w:left="2520" w:hanging="360"/>
      </w:pPr>
      <w:rPr>
        <w:rFonts w:ascii="Times New Roman" w:hAnsi="Times New Roman"/>
        <w:sz w:val="40"/>
      </w:rPr>
    </w:lvl>
    <w:lvl w:ilvl="7" w:tentative="0">
      <w:start w:val="1"/>
      <w:numFmt w:val="lowerLetter"/>
      <w:lvlText w:val="%8."/>
      <w:lvlJc w:val="left"/>
      <w:pPr>
        <w:tabs>
          <w:tab w:val="left" w:pos="2880"/>
        </w:tabs>
        <w:ind w:left="2880" w:hanging="360"/>
      </w:pPr>
      <w:rPr>
        <w:rFonts w:ascii="Times New Roman" w:hAnsi="Times New Roman"/>
        <w:sz w:val="40"/>
      </w:rPr>
    </w:lvl>
    <w:lvl w:ilvl="8" w:tentative="0">
      <w:start w:val="1"/>
      <w:numFmt w:val="lowerRoman"/>
      <w:lvlText w:val="%9."/>
      <w:lvlJc w:val="left"/>
      <w:pPr>
        <w:tabs>
          <w:tab w:val="left" w:pos="3240"/>
        </w:tabs>
        <w:ind w:left="3240" w:hanging="360"/>
      </w:pPr>
      <w:rPr>
        <w:rFonts w:ascii="Times New Roman" w:hAnsi="Times New Roman"/>
        <w:sz w:val="40"/>
      </w:rPr>
    </w:lvl>
  </w:abstractNum>
  <w:abstractNum w:abstractNumId="5">
    <w:nsid w:val="00000015"/>
    <w:multiLevelType w:val="singleLevel"/>
    <w:tmpl w:val="00000015"/>
    <w:lvl w:ilvl="0" w:tentative="0">
      <w:start w:val="1"/>
      <w:numFmt w:val="lowerRoman"/>
      <w:pStyle w:val="43"/>
      <w:lvlText w:val="(%1)"/>
      <w:lvlJc w:val="right"/>
      <w:pPr>
        <w:tabs>
          <w:tab w:val="left" w:pos="504"/>
        </w:tabs>
        <w:ind w:left="504" w:hanging="216"/>
      </w:pPr>
    </w:lvl>
  </w:abstractNum>
  <w:abstractNum w:abstractNumId="6">
    <w:nsid w:val="00000019"/>
    <w:multiLevelType w:val="multilevel"/>
    <w:tmpl w:val="00000019"/>
    <w:lvl w:ilvl="0" w:tentative="0">
      <w:start w:val="1"/>
      <w:numFmt w:val="decimal"/>
      <w:pStyle w:val="62"/>
      <w:lvlText w:val="%1. -"/>
      <w:lvlJc w:val="left"/>
      <w:pPr>
        <w:tabs>
          <w:tab w:val="left" w:pos="720"/>
        </w:tabs>
        <w:ind w:left="72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000001A"/>
    <w:multiLevelType w:val="singleLevel"/>
    <w:tmpl w:val="0000001A"/>
    <w:lvl w:ilvl="0" w:tentative="0">
      <w:start w:val="1"/>
      <w:numFmt w:val="lowerLetter"/>
      <w:pStyle w:val="41"/>
      <w:lvlText w:val="(%1)"/>
      <w:lvlJc w:val="left"/>
      <w:pPr>
        <w:tabs>
          <w:tab w:val="left" w:pos="360"/>
        </w:tabs>
        <w:ind w:left="360" w:hanging="360"/>
      </w:pPr>
    </w:lvl>
  </w:abstractNum>
  <w:abstractNum w:abstractNumId="8">
    <w:nsid w:val="0000001C"/>
    <w:multiLevelType w:val="singleLevel"/>
    <w:tmpl w:val="0000001C"/>
    <w:lvl w:ilvl="0" w:tentative="0">
      <w:start w:val="1"/>
      <w:numFmt w:val="upperRoman"/>
      <w:pStyle w:val="42"/>
      <w:lvlText w:val="%1."/>
      <w:lvlJc w:val="left"/>
      <w:pPr>
        <w:tabs>
          <w:tab w:val="left" w:pos="720"/>
        </w:tabs>
        <w:ind w:left="720" w:hanging="720"/>
      </w:pPr>
    </w:lvl>
  </w:abstractNum>
  <w:abstractNum w:abstractNumId="9">
    <w:nsid w:val="36FB77F8"/>
    <w:multiLevelType w:val="singleLevel"/>
    <w:tmpl w:val="36FB77F8"/>
    <w:lvl w:ilvl="0" w:tentative="0">
      <w:start w:val="1"/>
      <w:numFmt w:val="bullet"/>
      <w:pStyle w:val="8"/>
      <w:lvlText w:val=""/>
      <w:lvlJc w:val="left"/>
      <w:pPr>
        <w:tabs>
          <w:tab w:val="left" w:pos="2160"/>
        </w:tabs>
        <w:ind w:left="2160" w:hanging="720"/>
      </w:pPr>
      <w:rPr>
        <w:rFonts w:ascii="Symbol" w:hAnsi="Symbol" w:cs="Symbol"/>
      </w:rPr>
    </w:lvl>
  </w:abstractNum>
  <w:abstractNum w:abstractNumId="10">
    <w:nsid w:val="3D3F672F"/>
    <w:multiLevelType w:val="multilevel"/>
    <w:tmpl w:val="3D3F67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2C68CF"/>
    <w:multiLevelType w:val="multilevel"/>
    <w:tmpl w:val="492C68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9"/>
  </w:num>
  <w:num w:numId="3">
    <w:abstractNumId w:val="2"/>
  </w:num>
  <w:num w:numId="4">
    <w:abstractNumId w:val="3"/>
  </w:num>
  <w:num w:numId="5">
    <w:abstractNumId w:val="1"/>
  </w:num>
  <w:num w:numId="6">
    <w:abstractNumId w:val="7"/>
  </w:num>
  <w:num w:numId="7">
    <w:abstractNumId w:val="8"/>
  </w:num>
  <w:num w:numId="8">
    <w:abstractNumId w:val="5"/>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removePersonalInformation/>
  <w:doNotDisplayPageBoundaries w:val="true"/>
  <w:bordersDoNotSurroundHeader w:val="true"/>
  <w:bordersDoNotSurroundFooter w:val="true"/>
  <w:doNotTrackFormatting/>
  <w:documentProtection w:enforcement="0"/>
  <w:styleLockQFSet/>
  <w:defaultTabStop w:val="720"/>
  <w:drawingGridHorizontalSpacing w:val="120"/>
  <w:drawingGridVerticalSpacing w:val="163"/>
  <w:displayHorizontalDrawingGridEvery w:val="0"/>
  <w:displayVerticalDrawingGridEvery w:val="0"/>
  <w:noPunctuationKerning w:val="true"/>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4A"/>
    <w:rsid w:val="00036C0D"/>
    <w:rsid w:val="00043078"/>
    <w:rsid w:val="000A241A"/>
    <w:rsid w:val="00135C41"/>
    <w:rsid w:val="001B4A97"/>
    <w:rsid w:val="001D5EED"/>
    <w:rsid w:val="001F219A"/>
    <w:rsid w:val="00284DFA"/>
    <w:rsid w:val="002B30A5"/>
    <w:rsid w:val="002B7930"/>
    <w:rsid w:val="003425FC"/>
    <w:rsid w:val="0035766B"/>
    <w:rsid w:val="00363869"/>
    <w:rsid w:val="003669E9"/>
    <w:rsid w:val="00366B40"/>
    <w:rsid w:val="003F7FFB"/>
    <w:rsid w:val="004605E7"/>
    <w:rsid w:val="00497BF5"/>
    <w:rsid w:val="004A7D4A"/>
    <w:rsid w:val="004B3389"/>
    <w:rsid w:val="004D1619"/>
    <w:rsid w:val="004E25D5"/>
    <w:rsid w:val="004F0FFC"/>
    <w:rsid w:val="00531CC8"/>
    <w:rsid w:val="0054251E"/>
    <w:rsid w:val="0055451E"/>
    <w:rsid w:val="00560587"/>
    <w:rsid w:val="00605A5E"/>
    <w:rsid w:val="006C7726"/>
    <w:rsid w:val="007356D5"/>
    <w:rsid w:val="007420FF"/>
    <w:rsid w:val="00750ACC"/>
    <w:rsid w:val="00776554"/>
    <w:rsid w:val="007A3A50"/>
    <w:rsid w:val="007B1E4F"/>
    <w:rsid w:val="007F220A"/>
    <w:rsid w:val="00824041"/>
    <w:rsid w:val="00836DCC"/>
    <w:rsid w:val="008420C0"/>
    <w:rsid w:val="008526CA"/>
    <w:rsid w:val="008675AF"/>
    <w:rsid w:val="008914EC"/>
    <w:rsid w:val="00892AAD"/>
    <w:rsid w:val="008D0B96"/>
    <w:rsid w:val="008F3DEC"/>
    <w:rsid w:val="008F7E64"/>
    <w:rsid w:val="00941E2A"/>
    <w:rsid w:val="00956FEF"/>
    <w:rsid w:val="00971DAA"/>
    <w:rsid w:val="009909E4"/>
    <w:rsid w:val="00993586"/>
    <w:rsid w:val="009E4177"/>
    <w:rsid w:val="009F0A50"/>
    <w:rsid w:val="00A0357A"/>
    <w:rsid w:val="00A05DC7"/>
    <w:rsid w:val="00A80888"/>
    <w:rsid w:val="00AA262B"/>
    <w:rsid w:val="00AA78EF"/>
    <w:rsid w:val="00AE5C3A"/>
    <w:rsid w:val="00B3116C"/>
    <w:rsid w:val="00B40851"/>
    <w:rsid w:val="00C42F44"/>
    <w:rsid w:val="00C47866"/>
    <w:rsid w:val="00C61181"/>
    <w:rsid w:val="00C643F5"/>
    <w:rsid w:val="00CA5FE7"/>
    <w:rsid w:val="00CB6923"/>
    <w:rsid w:val="00CC2CEE"/>
    <w:rsid w:val="00D22D65"/>
    <w:rsid w:val="00D24FEA"/>
    <w:rsid w:val="00D91A47"/>
    <w:rsid w:val="00D97AA7"/>
    <w:rsid w:val="00E84793"/>
    <w:rsid w:val="00E93F9F"/>
    <w:rsid w:val="00E953F2"/>
    <w:rsid w:val="00EB177F"/>
    <w:rsid w:val="00ED012F"/>
    <w:rsid w:val="00F02F73"/>
    <w:rsid w:val="00F4769F"/>
    <w:rsid w:val="00FD0F34"/>
    <w:rsid w:val="00FD671E"/>
    <w:rsid w:val="00FE53CB"/>
    <w:rsid w:val="1FCB6235"/>
    <w:rsid w:val="1FEB6BCE"/>
    <w:rsid w:val="2BEF8648"/>
    <w:rsid w:val="37DBB1E2"/>
    <w:rsid w:val="3DAF20CB"/>
    <w:rsid w:val="3DEF069A"/>
    <w:rsid w:val="3F6C853E"/>
    <w:rsid w:val="3F798096"/>
    <w:rsid w:val="3F974429"/>
    <w:rsid w:val="3FFFA4C9"/>
    <w:rsid w:val="457FF3E5"/>
    <w:rsid w:val="4D3E36B5"/>
    <w:rsid w:val="5F5F2920"/>
    <w:rsid w:val="67FD7E91"/>
    <w:rsid w:val="67FF3CF2"/>
    <w:rsid w:val="6B6724C8"/>
    <w:rsid w:val="6DBE21C0"/>
    <w:rsid w:val="6DDBA271"/>
    <w:rsid w:val="6FDA3E17"/>
    <w:rsid w:val="6FFF2D37"/>
    <w:rsid w:val="774FB174"/>
    <w:rsid w:val="77F74F64"/>
    <w:rsid w:val="795DD26E"/>
    <w:rsid w:val="7DA8F95D"/>
    <w:rsid w:val="7DB108C6"/>
    <w:rsid w:val="7EAFCEE1"/>
    <w:rsid w:val="7FBDFF42"/>
    <w:rsid w:val="7FD5B5AA"/>
    <w:rsid w:val="7FDDA805"/>
    <w:rsid w:val="7FFB1167"/>
    <w:rsid w:val="7FFF178E"/>
    <w:rsid w:val="9BBF3A90"/>
    <w:rsid w:val="9FEFDE08"/>
    <w:rsid w:val="A9FEB899"/>
    <w:rsid w:val="B7BBB5B7"/>
    <w:rsid w:val="B8FDFBB7"/>
    <w:rsid w:val="BDEEE2B1"/>
    <w:rsid w:val="D97FE201"/>
    <w:rsid w:val="D9DD97F0"/>
    <w:rsid w:val="DBFA0B8F"/>
    <w:rsid w:val="DFEEF1FA"/>
    <w:rsid w:val="DFF318CC"/>
    <w:rsid w:val="E6FF534F"/>
    <w:rsid w:val="EB6F85FB"/>
    <w:rsid w:val="EEC704AD"/>
    <w:rsid w:val="EEFFD25E"/>
    <w:rsid w:val="EF7F87A1"/>
    <w:rsid w:val="EFEC0C74"/>
    <w:rsid w:val="F57EAD77"/>
    <w:rsid w:val="F7D92CAC"/>
    <w:rsid w:val="F7EE1C90"/>
    <w:rsid w:val="F7FB1EEB"/>
    <w:rsid w:val="FB6BA54E"/>
    <w:rsid w:val="FB7AC26C"/>
    <w:rsid w:val="FD3F509C"/>
    <w:rsid w:val="FDDE4C2B"/>
    <w:rsid w:val="FE5F949C"/>
    <w:rsid w:val="FE793D73"/>
    <w:rsid w:val="FEFF0D05"/>
    <w:rsid w:val="FEFF5AE7"/>
    <w:rsid w:val="FF3D42EF"/>
    <w:rsid w:val="FF3FD74D"/>
    <w:rsid w:val="FFAB5525"/>
    <w:rsid w:val="FFF5ECBC"/>
    <w:rsid w:val="FFF781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qFormat="1" w:unhideWhenUsed="0" w:uiPriority="99" w:semiHidden="0"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99"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nhideWhenUsed="0" w:uiPriority="99" w:semiHidden="0"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4" w:lineRule="auto"/>
      <w:jc w:val="both"/>
    </w:pPr>
    <w:rPr>
      <w:rFonts w:ascii="Times New Roman" w:hAnsi="Times New Roman" w:eastAsia="宋体" w:cs="Times New Roman"/>
      <w:sz w:val="24"/>
      <w:lang w:val="en-US" w:eastAsia="en-US" w:bidi="ar-SA"/>
    </w:rPr>
  </w:style>
  <w:style w:type="paragraph" w:styleId="3">
    <w:name w:val="heading 2"/>
    <w:basedOn w:val="1"/>
    <w:next w:val="1"/>
    <w:qFormat/>
    <w:uiPriority w:val="0"/>
    <w:pPr>
      <w:keepNext/>
      <w:spacing w:before="240" w:after="60"/>
      <w:outlineLvl w:val="1"/>
    </w:pPr>
    <w:rPr>
      <w:rFonts w:ascii="Arial" w:hAnsi="Arial"/>
      <w:b/>
      <w:i/>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macro"/>
    <w:link w:val="89"/>
    <w:qFormat/>
    <w:uiPriority w:val="99"/>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eastAsia="宋体" w:cs="Times New Roman"/>
      <w:lang w:val="en-US" w:eastAsia="en-US" w:bidi="ar-SA"/>
    </w:rPr>
  </w:style>
  <w:style w:type="paragraph" w:styleId="4">
    <w:name w:val="List Bullet"/>
    <w:basedOn w:val="1"/>
    <w:qFormat/>
    <w:uiPriority w:val="0"/>
    <w:pPr>
      <w:numPr>
        <w:ilvl w:val="0"/>
        <w:numId w:val="1"/>
      </w:numPr>
    </w:pPr>
  </w:style>
  <w:style w:type="paragraph" w:styleId="5">
    <w:name w:val="envelope address"/>
    <w:basedOn w:val="1"/>
    <w:qFormat/>
    <w:uiPriority w:val="0"/>
    <w:pPr>
      <w:framePr w:w="7920" w:h="1980" w:hRule="exact" w:hSpace="180" w:wrap="auto" w:vAnchor="margin" w:hAnchor="page" w:xAlign="center" w:yAlign="bottom"/>
      <w:ind w:left="2880"/>
    </w:pPr>
  </w:style>
  <w:style w:type="paragraph" w:styleId="6">
    <w:name w:val="annotation text"/>
    <w:basedOn w:val="1"/>
    <w:link w:val="87"/>
    <w:qFormat/>
    <w:uiPriority w:val="99"/>
    <w:pPr>
      <w:jc w:val="left"/>
    </w:pPr>
  </w:style>
  <w:style w:type="paragraph" w:styleId="7">
    <w:name w:val="Body Text 3"/>
    <w:basedOn w:val="1"/>
    <w:link w:val="81"/>
    <w:qFormat/>
    <w:uiPriority w:val="99"/>
    <w:pPr>
      <w:spacing w:after="120"/>
    </w:pPr>
    <w:rPr>
      <w:sz w:val="16"/>
      <w:szCs w:val="16"/>
    </w:rPr>
  </w:style>
  <w:style w:type="paragraph" w:styleId="8">
    <w:name w:val="List Bullet 3"/>
    <w:basedOn w:val="1"/>
    <w:qFormat/>
    <w:uiPriority w:val="99"/>
    <w:pPr>
      <w:widowControl w:val="0"/>
      <w:numPr>
        <w:ilvl w:val="0"/>
        <w:numId w:val="2"/>
      </w:numPr>
      <w:tabs>
        <w:tab w:val="clear" w:pos="2160"/>
      </w:tabs>
      <w:autoSpaceDE w:val="0"/>
      <w:autoSpaceDN w:val="0"/>
      <w:adjustRightInd w:val="0"/>
      <w:spacing w:line="240" w:lineRule="auto"/>
      <w:ind w:left="0" w:firstLine="0"/>
      <w:jc w:val="left"/>
    </w:pPr>
    <w:rPr>
      <w:szCs w:val="24"/>
      <w:lang w:eastAsia="zh-CN"/>
    </w:rPr>
  </w:style>
  <w:style w:type="paragraph" w:styleId="9">
    <w:name w:val="Body Text"/>
    <w:basedOn w:val="1"/>
    <w:link w:val="74"/>
    <w:qFormat/>
    <w:uiPriority w:val="0"/>
    <w:pPr>
      <w:spacing w:after="120"/>
    </w:pPr>
  </w:style>
  <w:style w:type="paragraph" w:styleId="10">
    <w:name w:val="Body Text Indent"/>
    <w:basedOn w:val="1"/>
    <w:link w:val="84"/>
    <w:qFormat/>
    <w:uiPriority w:val="99"/>
    <w:pPr>
      <w:spacing w:after="120"/>
      <w:ind w:left="283"/>
    </w:pPr>
  </w:style>
  <w:style w:type="paragraph" w:styleId="11">
    <w:name w:val="toc 5"/>
    <w:basedOn w:val="1"/>
    <w:next w:val="1"/>
    <w:qFormat/>
    <w:uiPriority w:val="0"/>
    <w:pPr>
      <w:keepLines/>
      <w:tabs>
        <w:tab w:val="right" w:leader="dot" w:pos="8955"/>
      </w:tabs>
      <w:spacing w:after="240" w:line="240" w:lineRule="auto"/>
      <w:ind w:left="1440" w:right="720" w:hanging="720"/>
      <w:jc w:val="left"/>
    </w:pPr>
    <w:rPr>
      <w:szCs w:val="24"/>
    </w:rPr>
  </w:style>
  <w:style w:type="paragraph" w:styleId="12">
    <w:name w:val="toc 3"/>
    <w:basedOn w:val="1"/>
    <w:next w:val="1"/>
    <w:qFormat/>
    <w:uiPriority w:val="0"/>
    <w:pPr>
      <w:keepLines/>
      <w:tabs>
        <w:tab w:val="right" w:leader="dot" w:pos="8955"/>
      </w:tabs>
      <w:spacing w:after="240" w:line="240" w:lineRule="auto"/>
      <w:ind w:left="1440" w:right="720" w:hanging="720"/>
      <w:jc w:val="left"/>
    </w:pPr>
    <w:rPr>
      <w:b/>
      <w:szCs w:val="24"/>
    </w:rPr>
  </w:style>
  <w:style w:type="paragraph" w:styleId="13">
    <w:name w:val="endnote text"/>
    <w:basedOn w:val="1"/>
    <w:link w:val="85"/>
    <w:qFormat/>
    <w:uiPriority w:val="0"/>
    <w:pPr>
      <w:spacing w:after="120" w:line="240" w:lineRule="auto"/>
      <w:ind w:firstLine="720"/>
      <w:jc w:val="left"/>
    </w:pPr>
    <w:rPr>
      <w:sz w:val="20"/>
      <w:lang w:eastAsia="zh-CN"/>
    </w:rPr>
  </w:style>
  <w:style w:type="paragraph" w:styleId="14">
    <w:name w:val="Balloon Text"/>
    <w:basedOn w:val="1"/>
    <w:link w:val="76"/>
    <w:qFormat/>
    <w:uiPriority w:val="99"/>
    <w:pPr>
      <w:spacing w:line="240" w:lineRule="auto"/>
    </w:pPr>
    <w:rPr>
      <w:rFonts w:ascii="Tahoma" w:hAnsi="Tahoma"/>
      <w:sz w:val="16"/>
      <w:szCs w:val="16"/>
    </w:rPr>
  </w:style>
  <w:style w:type="paragraph" w:styleId="15">
    <w:name w:val="footer"/>
    <w:basedOn w:val="1"/>
    <w:qFormat/>
    <w:uiPriority w:val="0"/>
    <w:pPr>
      <w:tabs>
        <w:tab w:val="center" w:pos="4320"/>
        <w:tab w:val="right" w:pos="8640"/>
      </w:tabs>
    </w:pPr>
  </w:style>
  <w:style w:type="paragraph" w:styleId="16">
    <w:name w:val="envelope return"/>
    <w:basedOn w:val="1"/>
    <w:qFormat/>
    <w:uiPriority w:val="0"/>
    <w:rPr>
      <w:sz w:val="20"/>
    </w:rPr>
  </w:style>
  <w:style w:type="paragraph" w:styleId="17">
    <w:name w:val="header"/>
    <w:basedOn w:val="1"/>
    <w:link w:val="77"/>
    <w:qFormat/>
    <w:uiPriority w:val="0"/>
    <w:pPr>
      <w:tabs>
        <w:tab w:val="center" w:pos="4320"/>
        <w:tab w:val="right" w:pos="8640"/>
      </w:tabs>
    </w:pPr>
  </w:style>
  <w:style w:type="paragraph" w:styleId="18">
    <w:name w:val="toc 1"/>
    <w:basedOn w:val="1"/>
    <w:next w:val="1"/>
    <w:qFormat/>
    <w:uiPriority w:val="0"/>
    <w:pPr>
      <w:keepLines/>
      <w:tabs>
        <w:tab w:val="right" w:leader="dot" w:pos="8955"/>
      </w:tabs>
      <w:spacing w:after="240" w:line="240" w:lineRule="auto"/>
      <w:ind w:left="720" w:right="720" w:hanging="720"/>
      <w:jc w:val="left"/>
    </w:pPr>
    <w:rPr>
      <w:b/>
      <w:caps/>
    </w:rPr>
  </w:style>
  <w:style w:type="paragraph" w:styleId="19">
    <w:name w:val="toc 4"/>
    <w:basedOn w:val="1"/>
    <w:next w:val="1"/>
    <w:qFormat/>
    <w:uiPriority w:val="0"/>
    <w:pPr>
      <w:keepLines/>
      <w:tabs>
        <w:tab w:val="right" w:leader="dot" w:pos="8955"/>
      </w:tabs>
      <w:spacing w:after="240" w:line="240" w:lineRule="auto"/>
      <w:ind w:left="1440" w:right="720" w:hanging="720"/>
      <w:jc w:val="left"/>
    </w:pPr>
    <w:rPr>
      <w:b/>
      <w:i/>
      <w:szCs w:val="24"/>
    </w:rPr>
  </w:style>
  <w:style w:type="paragraph" w:styleId="20">
    <w:name w:val="footnote text"/>
    <w:basedOn w:val="1"/>
    <w:qFormat/>
    <w:uiPriority w:val="0"/>
    <w:pPr>
      <w:spacing w:after="120" w:line="240" w:lineRule="auto"/>
      <w:ind w:left="720" w:hanging="720"/>
    </w:pPr>
    <w:rPr>
      <w:sz w:val="20"/>
    </w:rPr>
  </w:style>
  <w:style w:type="paragraph" w:styleId="21">
    <w:name w:val="toc 2"/>
    <w:basedOn w:val="1"/>
    <w:next w:val="1"/>
    <w:qFormat/>
    <w:uiPriority w:val="0"/>
    <w:pPr>
      <w:keepLines/>
      <w:tabs>
        <w:tab w:val="right" w:leader="dot" w:pos="8955"/>
      </w:tabs>
      <w:spacing w:after="240" w:line="240" w:lineRule="auto"/>
      <w:ind w:left="720" w:right="720" w:hanging="720"/>
      <w:jc w:val="left"/>
    </w:pPr>
    <w:rPr>
      <w:b/>
      <w:smallCaps/>
      <w:szCs w:val="24"/>
    </w:rPr>
  </w:style>
  <w:style w:type="paragraph" w:styleId="22">
    <w:name w:val="Title"/>
    <w:basedOn w:val="1"/>
    <w:link w:val="78"/>
    <w:qFormat/>
    <w:uiPriority w:val="0"/>
    <w:pPr>
      <w:keepNext/>
      <w:spacing w:after="240" w:line="240" w:lineRule="auto"/>
      <w:jc w:val="center"/>
    </w:pPr>
    <w:rPr>
      <w:b/>
      <w:caps/>
    </w:rPr>
  </w:style>
  <w:style w:type="paragraph" w:styleId="23">
    <w:name w:val="annotation subject"/>
    <w:basedOn w:val="6"/>
    <w:next w:val="6"/>
    <w:link w:val="88"/>
    <w:qFormat/>
    <w:uiPriority w:val="99"/>
    <w:rPr>
      <w:b/>
      <w:bCs/>
    </w:rPr>
  </w:style>
  <w:style w:type="paragraph" w:styleId="24">
    <w:name w:val="Body Text First Indent"/>
    <w:basedOn w:val="1"/>
    <w:link w:val="75"/>
    <w:qFormat/>
    <w:uiPriority w:val="0"/>
    <w:pPr>
      <w:spacing w:after="240" w:line="240" w:lineRule="auto"/>
      <w:ind w:firstLine="1440"/>
      <w:jc w:val="left"/>
    </w:pPr>
    <w:rPr>
      <w:szCs w:val="22"/>
    </w:rPr>
  </w:style>
  <w:style w:type="character" w:styleId="27">
    <w:name w:val="page number"/>
    <w:basedOn w:val="26"/>
    <w:qFormat/>
    <w:uiPriority w:val="0"/>
  </w:style>
  <w:style w:type="character" w:styleId="28">
    <w:name w:val="annotation reference"/>
    <w:qFormat/>
    <w:uiPriority w:val="99"/>
    <w:rPr>
      <w:sz w:val="21"/>
      <w:szCs w:val="21"/>
    </w:rPr>
  </w:style>
  <w:style w:type="character" w:styleId="29">
    <w:name w:val="footnote reference"/>
    <w:qFormat/>
    <w:uiPriority w:val="0"/>
    <w:rPr>
      <w:sz w:val="18"/>
      <w:vertAlign w:val="superscript"/>
    </w:rPr>
  </w:style>
  <w:style w:type="paragraph" w:customStyle="1" w:styleId="30">
    <w:name w:val="CG-Bullet"/>
    <w:basedOn w:val="1"/>
    <w:qFormat/>
    <w:uiPriority w:val="0"/>
    <w:pPr>
      <w:numPr>
        <w:ilvl w:val="0"/>
        <w:numId w:val="3"/>
      </w:numPr>
      <w:spacing w:after="240"/>
      <w:ind w:left="1004"/>
    </w:pPr>
  </w:style>
  <w:style w:type="paragraph" w:customStyle="1" w:styleId="31">
    <w:name w:val="CG-Dbl Ind 0.5"/>
    <w:basedOn w:val="1"/>
    <w:qFormat/>
    <w:uiPriority w:val="0"/>
    <w:pPr>
      <w:spacing w:after="240"/>
      <w:ind w:left="720" w:right="720"/>
    </w:pPr>
  </w:style>
  <w:style w:type="paragraph" w:customStyle="1" w:styleId="32">
    <w:name w:val="CG-Dbl Ind 1"/>
    <w:basedOn w:val="1"/>
    <w:qFormat/>
    <w:uiPriority w:val="0"/>
    <w:pPr>
      <w:spacing w:after="240"/>
      <w:ind w:left="1440" w:right="1440"/>
    </w:pPr>
  </w:style>
  <w:style w:type="paragraph" w:customStyle="1" w:styleId="33">
    <w:name w:val="CG-Dbl Sp 0.5"/>
    <w:basedOn w:val="1"/>
    <w:qFormat/>
    <w:uiPriority w:val="0"/>
    <w:pPr>
      <w:spacing w:line="480" w:lineRule="auto"/>
      <w:ind w:firstLine="720"/>
    </w:pPr>
  </w:style>
  <w:style w:type="paragraph" w:customStyle="1" w:styleId="34">
    <w:name w:val="CG-Dbl Sp 1"/>
    <w:basedOn w:val="1"/>
    <w:qFormat/>
    <w:uiPriority w:val="0"/>
    <w:pPr>
      <w:spacing w:line="480" w:lineRule="auto"/>
      <w:ind w:firstLine="1440"/>
    </w:pPr>
  </w:style>
  <w:style w:type="paragraph" w:customStyle="1" w:styleId="35">
    <w:name w:val="CG-Dbl Sp"/>
    <w:basedOn w:val="1"/>
    <w:qFormat/>
    <w:uiPriority w:val="0"/>
    <w:pPr>
      <w:spacing w:line="480" w:lineRule="auto"/>
    </w:pPr>
  </w:style>
  <w:style w:type="paragraph" w:customStyle="1" w:styleId="36">
    <w:name w:val="CG-Left Ind 0.5 FL 0.5"/>
    <w:basedOn w:val="1"/>
    <w:qFormat/>
    <w:uiPriority w:val="0"/>
    <w:pPr>
      <w:spacing w:after="240"/>
      <w:ind w:left="720" w:firstLine="720"/>
    </w:pPr>
  </w:style>
  <w:style w:type="paragraph" w:customStyle="1" w:styleId="37">
    <w:name w:val="CG-Left Ind 0.5"/>
    <w:basedOn w:val="1"/>
    <w:qFormat/>
    <w:uiPriority w:val="0"/>
    <w:pPr>
      <w:spacing w:after="240"/>
      <w:ind w:left="720"/>
    </w:pPr>
  </w:style>
  <w:style w:type="paragraph" w:customStyle="1" w:styleId="38">
    <w:name w:val="CG-Left Ind 1"/>
    <w:basedOn w:val="1"/>
    <w:qFormat/>
    <w:uiPriority w:val="0"/>
    <w:pPr>
      <w:spacing w:after="240"/>
      <w:ind w:left="1440"/>
    </w:pPr>
  </w:style>
  <w:style w:type="paragraph" w:customStyle="1" w:styleId="39">
    <w:name w:val="CG-Number A"/>
    <w:basedOn w:val="1"/>
    <w:qFormat/>
    <w:uiPriority w:val="0"/>
    <w:pPr>
      <w:numPr>
        <w:ilvl w:val="0"/>
        <w:numId w:val="4"/>
      </w:numPr>
      <w:spacing w:after="240"/>
    </w:pPr>
  </w:style>
  <w:style w:type="paragraph" w:customStyle="1" w:styleId="40">
    <w:name w:val="CG-Number L"/>
    <w:basedOn w:val="1"/>
    <w:qFormat/>
    <w:uiPriority w:val="0"/>
    <w:pPr>
      <w:numPr>
        <w:ilvl w:val="0"/>
        <w:numId w:val="5"/>
      </w:numPr>
      <w:ind w:left="1440" w:hanging="720"/>
    </w:pPr>
  </w:style>
  <w:style w:type="paragraph" w:customStyle="1" w:styleId="41">
    <w:name w:val="CG-Number l"/>
    <w:basedOn w:val="1"/>
    <w:qFormat/>
    <w:uiPriority w:val="0"/>
    <w:pPr>
      <w:numPr>
        <w:ilvl w:val="0"/>
        <w:numId w:val="6"/>
      </w:numPr>
      <w:ind w:left="1440" w:hanging="720"/>
    </w:pPr>
  </w:style>
  <w:style w:type="paragraph" w:customStyle="1" w:styleId="42">
    <w:name w:val="CG-Number R"/>
    <w:basedOn w:val="1"/>
    <w:qFormat/>
    <w:uiPriority w:val="0"/>
    <w:pPr>
      <w:numPr>
        <w:ilvl w:val="0"/>
        <w:numId w:val="7"/>
      </w:numPr>
      <w:ind w:left="1440"/>
    </w:pPr>
  </w:style>
  <w:style w:type="paragraph" w:customStyle="1" w:styleId="43">
    <w:name w:val="CG-Number r"/>
    <w:basedOn w:val="1"/>
    <w:qFormat/>
    <w:uiPriority w:val="0"/>
    <w:pPr>
      <w:numPr>
        <w:ilvl w:val="0"/>
        <w:numId w:val="8"/>
      </w:numPr>
      <w:tabs>
        <w:tab w:val="clear" w:pos="504"/>
      </w:tabs>
      <w:ind w:left="1440" w:hanging="720"/>
    </w:pPr>
  </w:style>
  <w:style w:type="paragraph" w:customStyle="1" w:styleId="44">
    <w:name w:val="CG-Sig Left"/>
    <w:basedOn w:val="1"/>
    <w:qFormat/>
    <w:uiPriority w:val="0"/>
    <w:pPr>
      <w:keepLines/>
      <w:tabs>
        <w:tab w:val="left" w:pos="360"/>
        <w:tab w:val="left" w:pos="4050"/>
      </w:tabs>
      <w:spacing w:after="480"/>
      <w:ind w:left="360" w:hanging="360"/>
    </w:pPr>
  </w:style>
  <w:style w:type="paragraph" w:customStyle="1" w:styleId="45">
    <w:name w:val="CG-Sig Ltr"/>
    <w:basedOn w:val="1"/>
    <w:qFormat/>
    <w:uiPriority w:val="0"/>
    <w:pPr>
      <w:keepNext/>
      <w:spacing w:after="720"/>
      <w:ind w:left="5040"/>
    </w:pPr>
  </w:style>
  <w:style w:type="paragraph" w:customStyle="1" w:styleId="46">
    <w:name w:val="CG-Sig"/>
    <w:basedOn w:val="1"/>
    <w:qFormat/>
    <w:uiPriority w:val="0"/>
    <w:pPr>
      <w:keepLines/>
      <w:tabs>
        <w:tab w:val="left" w:pos="5400"/>
        <w:tab w:val="left" w:pos="8640"/>
      </w:tabs>
      <w:spacing w:after="480"/>
      <w:ind w:left="5400" w:hanging="360"/>
    </w:pPr>
  </w:style>
  <w:style w:type="paragraph" w:customStyle="1" w:styleId="47">
    <w:name w:val="CG-Single Sp 0.5"/>
    <w:basedOn w:val="1"/>
    <w:qFormat/>
    <w:uiPriority w:val="0"/>
    <w:pPr>
      <w:spacing w:after="240"/>
      <w:ind w:firstLine="720"/>
    </w:pPr>
  </w:style>
  <w:style w:type="paragraph" w:customStyle="1" w:styleId="48">
    <w:name w:val="CG-Single Sp 1"/>
    <w:basedOn w:val="1"/>
    <w:qFormat/>
    <w:uiPriority w:val="0"/>
    <w:pPr>
      <w:spacing w:after="240"/>
      <w:ind w:firstLine="1440"/>
    </w:pPr>
  </w:style>
  <w:style w:type="paragraph" w:customStyle="1" w:styleId="49">
    <w:name w:val="CG-Single Sp"/>
    <w:basedOn w:val="1"/>
    <w:qFormat/>
    <w:uiPriority w:val="0"/>
    <w:pPr>
      <w:spacing w:after="240"/>
    </w:pPr>
  </w:style>
  <w:style w:type="paragraph" w:customStyle="1" w:styleId="50">
    <w:name w:val="CG-Title-Center-Bold"/>
    <w:basedOn w:val="1"/>
    <w:next w:val="48"/>
    <w:qFormat/>
    <w:uiPriority w:val="0"/>
    <w:pPr>
      <w:keepNext/>
      <w:spacing w:before="120" w:after="240"/>
      <w:jc w:val="center"/>
    </w:pPr>
    <w:rPr>
      <w:b/>
    </w:rPr>
  </w:style>
  <w:style w:type="paragraph" w:customStyle="1" w:styleId="51">
    <w:name w:val="CG-Title-Center-Underscore"/>
    <w:basedOn w:val="1"/>
    <w:next w:val="48"/>
    <w:qFormat/>
    <w:uiPriority w:val="0"/>
    <w:pPr>
      <w:keepNext/>
      <w:spacing w:before="120" w:after="240"/>
      <w:jc w:val="center"/>
    </w:pPr>
    <w:rPr>
      <w:u w:val="single"/>
    </w:rPr>
  </w:style>
  <w:style w:type="paragraph" w:customStyle="1" w:styleId="52">
    <w:name w:val="CG-Title-Left-Bold"/>
    <w:basedOn w:val="1"/>
    <w:next w:val="48"/>
    <w:qFormat/>
    <w:uiPriority w:val="0"/>
    <w:pPr>
      <w:keepNext/>
      <w:spacing w:before="120" w:after="240"/>
    </w:pPr>
    <w:rPr>
      <w:b/>
    </w:rPr>
  </w:style>
  <w:style w:type="paragraph" w:customStyle="1" w:styleId="53">
    <w:name w:val="CG-Title-Left-Underscore"/>
    <w:basedOn w:val="1"/>
    <w:next w:val="48"/>
    <w:qFormat/>
    <w:uiPriority w:val="0"/>
    <w:pPr>
      <w:keepNext/>
      <w:spacing w:before="120" w:after="240"/>
    </w:pPr>
    <w:rPr>
      <w:u w:val="single"/>
    </w:rPr>
  </w:style>
  <w:style w:type="character" w:customStyle="1" w:styleId="54">
    <w:name w:val="FooterRightSideText"/>
    <w:basedOn w:val="26"/>
    <w:qFormat/>
    <w:uiPriority w:val="0"/>
  </w:style>
  <w:style w:type="character" w:customStyle="1" w:styleId="55">
    <w:name w:val="iManage Footer"/>
    <w:qFormat/>
    <w:uiPriority w:val="0"/>
    <w:rPr>
      <w:sz w:val="16"/>
    </w:rPr>
  </w:style>
  <w:style w:type="paragraph" w:customStyle="1" w:styleId="56">
    <w:name w:val="CG-One and One-Half 1"/>
    <w:basedOn w:val="1"/>
    <w:qFormat/>
    <w:uiPriority w:val="0"/>
    <w:pPr>
      <w:spacing w:after="120" w:line="360" w:lineRule="auto"/>
      <w:ind w:firstLine="1440"/>
    </w:pPr>
  </w:style>
  <w:style w:type="paragraph" w:customStyle="1" w:styleId="57">
    <w:name w:val="CG-Title-Center"/>
    <w:basedOn w:val="1"/>
    <w:next w:val="1"/>
    <w:qFormat/>
    <w:uiPriority w:val="0"/>
    <w:pPr>
      <w:keepNext/>
      <w:spacing w:before="120" w:after="240"/>
      <w:jc w:val="center"/>
    </w:pPr>
  </w:style>
  <w:style w:type="paragraph" w:customStyle="1" w:styleId="58">
    <w:name w:val="CG-Title-Left-Italic"/>
    <w:basedOn w:val="1"/>
    <w:next w:val="1"/>
    <w:qFormat/>
    <w:uiPriority w:val="0"/>
    <w:pPr>
      <w:keepNext/>
      <w:spacing w:before="120" w:after="240"/>
    </w:pPr>
    <w:rPr>
      <w:i/>
    </w:rPr>
  </w:style>
  <w:style w:type="paragraph" w:customStyle="1" w:styleId="59">
    <w:name w:val="CG-Title-Left Ind-Italic"/>
    <w:basedOn w:val="1"/>
    <w:next w:val="1"/>
    <w:qFormat/>
    <w:uiPriority w:val="0"/>
    <w:pPr>
      <w:keepNext/>
      <w:spacing w:before="120" w:after="240"/>
      <w:ind w:left="720"/>
    </w:pPr>
    <w:rPr>
      <w:i/>
    </w:rPr>
  </w:style>
  <w:style w:type="paragraph" w:customStyle="1" w:styleId="60">
    <w:name w:val="Num Continue"/>
    <w:basedOn w:val="9"/>
    <w:qFormat/>
    <w:uiPriority w:val="0"/>
  </w:style>
  <w:style w:type="paragraph" w:customStyle="1" w:styleId="61">
    <w:name w:val="TOC Header"/>
    <w:basedOn w:val="1"/>
    <w:qFormat/>
    <w:uiPriority w:val="0"/>
    <w:pPr>
      <w:spacing w:line="240" w:lineRule="auto"/>
      <w:ind w:left="115" w:right="115"/>
      <w:jc w:val="center"/>
    </w:pPr>
  </w:style>
  <w:style w:type="paragraph" w:customStyle="1" w:styleId="62">
    <w:name w:val="Numbered Paragraph"/>
    <w:basedOn w:val="1"/>
    <w:qFormat/>
    <w:uiPriority w:val="0"/>
    <w:pPr>
      <w:numPr>
        <w:ilvl w:val="0"/>
        <w:numId w:val="9"/>
      </w:numPr>
      <w:spacing w:after="120"/>
      <w:ind w:left="0" w:firstLine="0"/>
    </w:pPr>
  </w:style>
  <w:style w:type="paragraph" w:customStyle="1" w:styleId="63">
    <w:name w:val="BRMemo1 Cont 1"/>
    <w:basedOn w:val="1"/>
    <w:qFormat/>
    <w:uiPriority w:val="0"/>
    <w:pPr>
      <w:spacing w:after="240"/>
      <w:jc w:val="left"/>
    </w:pPr>
  </w:style>
  <w:style w:type="paragraph" w:customStyle="1" w:styleId="64">
    <w:name w:val="BRMemo1 Cont 2"/>
    <w:basedOn w:val="63"/>
    <w:qFormat/>
    <w:uiPriority w:val="0"/>
  </w:style>
  <w:style w:type="paragraph" w:customStyle="1" w:styleId="65">
    <w:name w:val="BRMemo1 Cont 3"/>
    <w:basedOn w:val="64"/>
    <w:qFormat/>
    <w:uiPriority w:val="0"/>
  </w:style>
  <w:style w:type="paragraph" w:customStyle="1" w:styleId="66">
    <w:name w:val="BRMemo1 Cont 4"/>
    <w:basedOn w:val="65"/>
    <w:qFormat/>
    <w:uiPriority w:val="0"/>
  </w:style>
  <w:style w:type="paragraph" w:customStyle="1" w:styleId="67">
    <w:name w:val="BRMemo1 Cont 5"/>
    <w:basedOn w:val="1"/>
    <w:qFormat/>
    <w:uiPriority w:val="0"/>
    <w:pPr>
      <w:spacing w:after="240"/>
    </w:pPr>
  </w:style>
  <w:style w:type="paragraph" w:customStyle="1" w:styleId="68">
    <w:name w:val="DocId"/>
    <w:basedOn w:val="15"/>
    <w:qFormat/>
    <w:uiPriority w:val="0"/>
    <w:pPr>
      <w:tabs>
        <w:tab w:val="clear" w:pos="4320"/>
        <w:tab w:val="clear" w:pos="8640"/>
      </w:tabs>
      <w:spacing w:line="240" w:lineRule="auto"/>
      <w:jc w:val="left"/>
    </w:pPr>
    <w:rPr>
      <w:sz w:val="16"/>
      <w:szCs w:val="16"/>
    </w:rPr>
  </w:style>
  <w:style w:type="paragraph" w:customStyle="1" w:styleId="69">
    <w:name w:val="BRMemo1_L1"/>
    <w:basedOn w:val="1"/>
    <w:next w:val="63"/>
    <w:qFormat/>
    <w:uiPriority w:val="0"/>
    <w:pPr>
      <w:keepNext/>
      <w:spacing w:before="360" w:after="240"/>
      <w:outlineLvl w:val="0"/>
    </w:pPr>
    <w:rPr>
      <w:b/>
      <w:caps/>
      <w:u w:val="single"/>
    </w:rPr>
  </w:style>
  <w:style w:type="paragraph" w:customStyle="1" w:styleId="70">
    <w:name w:val="BRMemo1_L2"/>
    <w:basedOn w:val="69"/>
    <w:next w:val="64"/>
    <w:qFormat/>
    <w:uiPriority w:val="0"/>
    <w:pPr>
      <w:numPr>
        <w:ilvl w:val="1"/>
        <w:numId w:val="10"/>
      </w:numPr>
      <w:outlineLvl w:val="1"/>
    </w:pPr>
    <w:rPr>
      <w:caps w:val="0"/>
      <w:smallCaps/>
    </w:rPr>
  </w:style>
  <w:style w:type="paragraph" w:customStyle="1" w:styleId="71">
    <w:name w:val="BRMemo1_L3"/>
    <w:basedOn w:val="70"/>
    <w:next w:val="65"/>
    <w:qFormat/>
    <w:uiPriority w:val="0"/>
    <w:pPr>
      <w:numPr>
        <w:ilvl w:val="2"/>
        <w:numId w:val="0"/>
      </w:numPr>
      <w:spacing w:before="120"/>
      <w:outlineLvl w:val="2"/>
    </w:pPr>
    <w:rPr>
      <w:smallCaps w:val="0"/>
    </w:rPr>
  </w:style>
  <w:style w:type="paragraph" w:customStyle="1" w:styleId="72">
    <w:name w:val="BRMemo1_L4"/>
    <w:basedOn w:val="71"/>
    <w:next w:val="66"/>
    <w:qFormat/>
    <w:uiPriority w:val="0"/>
    <w:pPr>
      <w:numPr>
        <w:ilvl w:val="3"/>
      </w:numPr>
      <w:outlineLvl w:val="3"/>
    </w:pPr>
    <w:rPr>
      <w:i/>
    </w:rPr>
  </w:style>
  <w:style w:type="paragraph" w:customStyle="1" w:styleId="73">
    <w:name w:val="BRMemo1_L5"/>
    <w:basedOn w:val="72"/>
    <w:next w:val="67"/>
    <w:qFormat/>
    <w:uiPriority w:val="0"/>
    <w:pPr>
      <w:numPr>
        <w:ilvl w:val="4"/>
      </w:numPr>
      <w:outlineLvl w:val="4"/>
    </w:pPr>
    <w:rPr>
      <w:b w:val="0"/>
      <w:i w:val="0"/>
    </w:rPr>
  </w:style>
  <w:style w:type="character" w:customStyle="1" w:styleId="74">
    <w:name w:val="正文文本 Char"/>
    <w:link w:val="9"/>
    <w:qFormat/>
    <w:uiPriority w:val="0"/>
    <w:rPr>
      <w:sz w:val="24"/>
    </w:rPr>
  </w:style>
  <w:style w:type="character" w:customStyle="1" w:styleId="75">
    <w:name w:val="正文首行缩进 Char"/>
    <w:link w:val="24"/>
    <w:qFormat/>
    <w:uiPriority w:val="0"/>
    <w:rPr>
      <w:sz w:val="24"/>
      <w:szCs w:val="22"/>
    </w:rPr>
  </w:style>
  <w:style w:type="character" w:customStyle="1" w:styleId="76">
    <w:name w:val="批注框文本 Char"/>
    <w:link w:val="14"/>
    <w:qFormat/>
    <w:uiPriority w:val="99"/>
    <w:rPr>
      <w:rFonts w:ascii="Tahoma" w:hAnsi="Tahoma" w:cs="Tahoma"/>
      <w:sz w:val="16"/>
      <w:szCs w:val="16"/>
    </w:rPr>
  </w:style>
  <w:style w:type="character" w:customStyle="1" w:styleId="77">
    <w:name w:val="页眉 Char"/>
    <w:link w:val="17"/>
    <w:qFormat/>
    <w:uiPriority w:val="0"/>
    <w:rPr>
      <w:sz w:val="24"/>
      <w:lang w:eastAsia="en-US"/>
    </w:rPr>
  </w:style>
  <w:style w:type="character" w:customStyle="1" w:styleId="78">
    <w:name w:val="标题 Char"/>
    <w:link w:val="22"/>
    <w:qFormat/>
    <w:uiPriority w:val="0"/>
    <w:rPr>
      <w:rFonts w:eastAsia="宋体"/>
      <w:b/>
      <w:caps/>
      <w:sz w:val="24"/>
    </w:rPr>
  </w:style>
  <w:style w:type="character" w:customStyle="1" w:styleId="79">
    <w:name w:val="zzmpTrailerItem"/>
    <w:qFormat/>
    <w:uiPriority w:val="0"/>
    <w:rPr>
      <w:rFonts w:ascii="Times New Roman" w:hAnsi="Times New Roman" w:cs="Times New Roman"/>
      <w:color w:val="auto"/>
      <w:spacing w:val="0"/>
      <w:position w:val="0"/>
      <w:sz w:val="16"/>
      <w:szCs w:val="16"/>
      <w:u w:val="none"/>
      <w:vertAlign w:val="baseline"/>
    </w:rPr>
  </w:style>
  <w:style w:type="paragraph" w:customStyle="1" w:styleId="80">
    <w:name w:val="中等深浅网格 1 - 强调文字颜色 21"/>
    <w:basedOn w:val="1"/>
    <w:qFormat/>
    <w:uiPriority w:val="99"/>
    <w:pPr>
      <w:spacing w:line="240" w:lineRule="auto"/>
      <w:ind w:left="720"/>
      <w:contextualSpacing/>
      <w:jc w:val="left"/>
    </w:pPr>
    <w:rPr>
      <w:rFonts w:eastAsia="DFKai-SB"/>
      <w:szCs w:val="24"/>
    </w:rPr>
  </w:style>
  <w:style w:type="character" w:customStyle="1" w:styleId="81">
    <w:name w:val="正文文本 3 Char"/>
    <w:link w:val="7"/>
    <w:qFormat/>
    <w:uiPriority w:val="99"/>
    <w:rPr>
      <w:sz w:val="16"/>
      <w:szCs w:val="16"/>
      <w:lang w:eastAsia="en-US"/>
    </w:rPr>
  </w:style>
  <w:style w:type="paragraph" w:customStyle="1" w:styleId="82">
    <w:name w:val="BPLO_L2"/>
    <w:next w:val="10"/>
    <w:qFormat/>
    <w:uiPriority w:val="99"/>
    <w:pPr>
      <w:widowControl w:val="0"/>
      <w:autoSpaceDE w:val="0"/>
      <w:autoSpaceDN w:val="0"/>
      <w:adjustRightInd w:val="0"/>
      <w:spacing w:after="240"/>
      <w:ind w:left="720" w:hanging="720"/>
      <w:outlineLvl w:val="1"/>
    </w:pPr>
    <w:rPr>
      <w:rFonts w:ascii="Arial" w:hAnsi="Arial" w:eastAsia="宋体" w:cs="Arial"/>
      <w:sz w:val="22"/>
      <w:szCs w:val="22"/>
      <w:lang w:val="en-US" w:eastAsia="zh-CN" w:bidi="ar-SA"/>
    </w:rPr>
  </w:style>
  <w:style w:type="paragraph" w:customStyle="1" w:styleId="83">
    <w:name w:val="BPLO_L3"/>
    <w:next w:val="9"/>
    <w:qFormat/>
    <w:uiPriority w:val="99"/>
    <w:pPr>
      <w:widowControl w:val="0"/>
      <w:autoSpaceDE w:val="0"/>
      <w:autoSpaceDN w:val="0"/>
      <w:adjustRightInd w:val="0"/>
      <w:spacing w:after="240"/>
      <w:ind w:left="1440" w:hanging="720"/>
      <w:outlineLvl w:val="2"/>
    </w:pPr>
    <w:rPr>
      <w:rFonts w:ascii="Arial" w:hAnsi="Arial" w:eastAsia="宋体" w:cs="Arial"/>
      <w:sz w:val="22"/>
      <w:szCs w:val="22"/>
      <w:lang w:val="en-US" w:eastAsia="zh-CN" w:bidi="ar-SA"/>
    </w:rPr>
  </w:style>
  <w:style w:type="character" w:customStyle="1" w:styleId="84">
    <w:name w:val="正文文本缩进 Char"/>
    <w:link w:val="10"/>
    <w:qFormat/>
    <w:uiPriority w:val="99"/>
    <w:rPr>
      <w:sz w:val="24"/>
      <w:lang w:eastAsia="en-US"/>
    </w:rPr>
  </w:style>
  <w:style w:type="character" w:customStyle="1" w:styleId="85">
    <w:name w:val="尾注文本 Char"/>
    <w:basedOn w:val="26"/>
    <w:link w:val="13"/>
    <w:qFormat/>
    <w:uiPriority w:val="0"/>
  </w:style>
  <w:style w:type="paragraph" w:styleId="86">
    <w:name w:val="List Paragraph"/>
    <w:basedOn w:val="1"/>
    <w:qFormat/>
    <w:uiPriority w:val="34"/>
    <w:pPr>
      <w:spacing w:line="240" w:lineRule="auto"/>
      <w:ind w:left="720"/>
      <w:contextualSpacing/>
      <w:jc w:val="left"/>
    </w:pPr>
    <w:rPr>
      <w:lang w:eastAsia="zh-CN"/>
    </w:rPr>
  </w:style>
  <w:style w:type="character" w:customStyle="1" w:styleId="87">
    <w:name w:val="批注文字 Char"/>
    <w:link w:val="6"/>
    <w:qFormat/>
    <w:uiPriority w:val="99"/>
    <w:rPr>
      <w:sz w:val="24"/>
      <w:lang w:eastAsia="en-US"/>
    </w:rPr>
  </w:style>
  <w:style w:type="character" w:customStyle="1" w:styleId="88">
    <w:name w:val="批注主题 Char"/>
    <w:link w:val="23"/>
    <w:qFormat/>
    <w:uiPriority w:val="99"/>
    <w:rPr>
      <w:b/>
      <w:bCs/>
      <w:sz w:val="24"/>
      <w:lang w:eastAsia="en-US"/>
    </w:rPr>
  </w:style>
  <w:style w:type="character" w:customStyle="1" w:styleId="89">
    <w:name w:val="宏文本 Char"/>
    <w:basedOn w:val="26"/>
    <w:link w:val="2"/>
    <w:qFormat/>
    <w:uiPriority w:val="99"/>
    <w:rPr>
      <w:rFonts w:ascii="Consolas" w:hAnsi="Consolas"/>
      <w:lang w:eastAsia="en-US"/>
    </w:rPr>
  </w:style>
  <w:style w:type="paragraph" w:customStyle="1" w:styleId="90">
    <w:name w:val="中等深浅网格 1 - 强调文字颜色 22"/>
    <w:basedOn w:val="1"/>
    <w:qFormat/>
    <w:uiPriority w:val="99"/>
    <w:pPr>
      <w:spacing w:line="240" w:lineRule="auto"/>
      <w:ind w:left="720"/>
      <w:contextualSpacing/>
      <w:jc w:val="left"/>
    </w:pPr>
    <w:rPr>
      <w:rFonts w:eastAsia="DFKai-SB"/>
      <w:szCs w:val="24"/>
    </w:rPr>
  </w:style>
  <w:style w:type="paragraph" w:customStyle="1" w:styleId="91">
    <w:name w:val="中等深浅网格 1 - 强调文字颜色 23"/>
    <w:basedOn w:val="1"/>
    <w:qFormat/>
    <w:uiPriority w:val="99"/>
    <w:pPr>
      <w:spacing w:line="240" w:lineRule="auto"/>
      <w:ind w:left="720"/>
      <w:contextualSpacing/>
      <w:jc w:val="left"/>
    </w:pPr>
    <w:rPr>
      <w:rFonts w:eastAsia="DFKai-SB"/>
      <w:szCs w:val="24"/>
    </w:rPr>
  </w:style>
  <w:style w:type="paragraph" w:customStyle="1" w:styleId="92">
    <w:name w:val="Revision"/>
    <w:hidden/>
    <w:semiHidden/>
    <w:qFormat/>
    <w:uiPriority w:val="99"/>
    <w:rPr>
      <w:rFonts w:ascii="Times New Roman" w:hAnsi="Times New Roman"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398</Words>
  <Characters>2274</Characters>
  <Lines>18</Lines>
  <Paragraphs>5</Paragraphs>
  <TotalTime>2</TotalTime>
  <ScaleCrop>false</ScaleCrop>
  <LinksUpToDate>false</LinksUpToDate>
  <CharactersWithSpaces>2667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2021-11-16T01:16:00Z</dcterms:created>
  <cp:lastPrinted>2022-01-27T22:55:00Z</cp:lastPrinted>
  <dcterms:modified xsi:type="dcterms:W3CDTF">2022-01-27T15:34:32Z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