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700" w:rsidRDefault="002B2097">
      <w:pPr>
        <w:spacing w:line="640" w:lineRule="exact"/>
        <w:jc w:val="center"/>
        <w:rPr>
          <w:rFonts w:ascii="Times New Roman" w:eastAsia="方正小标宋简体" w:hAnsi="Times New Roman" w:cs="方正小标宋简体"/>
          <w:color w:val="000000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浙江省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市场监督管理局</w:t>
      </w:r>
    </w:p>
    <w:p w:rsidR="00380700" w:rsidRDefault="002B2097">
      <w:pPr>
        <w:spacing w:line="640" w:lineRule="exact"/>
        <w:jc w:val="center"/>
        <w:rPr>
          <w:rFonts w:ascii="Times New Roman" w:eastAsia="方正小标宋简体" w:hAnsi="Times New Roman" w:cs="方正小标宋简体"/>
          <w:bCs/>
          <w:color w:val="000000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行政处罚决定书</w:t>
      </w:r>
    </w:p>
    <w:p w:rsidR="00380700" w:rsidRDefault="00380700" w:rsidP="00F93FD6">
      <w:pPr>
        <w:wordWrap w:val="0"/>
        <w:snapToGrid w:val="0"/>
        <w:spacing w:beforeLines="100" w:afterLines="100" w:line="520" w:lineRule="exact"/>
        <w:jc w:val="center"/>
        <w:rPr>
          <w:rFonts w:ascii="Times New Roman" w:eastAsia="仿宋_GB2312" w:hAnsi="Times New Roman" w:cs="仿宋"/>
          <w:color w:val="000000"/>
          <w:sz w:val="32"/>
          <w:szCs w:val="32"/>
        </w:rPr>
      </w:pPr>
      <w:r>
        <w:rPr>
          <w:rFonts w:ascii="Times New Roman" w:eastAsia="仿宋_GB2312" w:hAnsi="Times New Roman" w:cs="仿宋"/>
          <w:color w:val="000000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pt;margin-top:1638pt;width:453.7pt;height:.1pt;z-index:251710464" o:gfxdata="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teKJra&#10;AAAACwEAAA8AAAAAAAAAAQAgAAAAIgAAAGRycy9kb3ducmV2LnhtbFBLAQIUABQAAAAIAIdO4kDj&#10;x/DE5QEAAKIDAAAOAAAAAAAAAAEAIAAAACkBAABkcnMvZTJvRG9jLnhtbFBLBQYAAAAABgAGAFkB&#10;AACABQAAAAA=&#10;" strokeweight="1.5pt">
            <v:stroke endcap="square"/>
          </v:shape>
        </w:pict>
      </w:r>
      <w:proofErr w:type="gramStart"/>
      <w:r w:rsidR="002B2097">
        <w:rPr>
          <w:rFonts w:ascii="Times New Roman" w:eastAsia="仿宋_GB2312" w:hAnsi="Times New Roman" w:cs="仿宋" w:hint="eastAsia"/>
          <w:color w:val="000000"/>
          <w:sz w:val="32"/>
          <w:szCs w:val="32"/>
        </w:rPr>
        <w:t>浙</w:t>
      </w:r>
      <w:r w:rsidR="002B2097">
        <w:rPr>
          <w:rFonts w:ascii="Times New Roman" w:eastAsia="仿宋_GB2312" w:hAnsi="Times New Roman" w:cs="仿宋" w:hint="eastAsia"/>
          <w:color w:val="000000"/>
          <w:sz w:val="32"/>
          <w:szCs w:val="32"/>
        </w:rPr>
        <w:t>市监</w:t>
      </w:r>
      <w:r w:rsidR="002B2097">
        <w:rPr>
          <w:rFonts w:ascii="Times New Roman" w:eastAsia="仿宋_GB2312" w:hAnsi="Times New Roman" w:cs="仿宋" w:hint="eastAsia"/>
          <w:color w:val="000000"/>
          <w:sz w:val="32"/>
          <w:szCs w:val="32"/>
        </w:rPr>
        <w:t>案字</w:t>
      </w:r>
      <w:proofErr w:type="gramEnd"/>
      <w:r w:rsidR="002B2097">
        <w:rPr>
          <w:rFonts w:ascii="Times New Roman" w:eastAsia="仿宋_GB2312" w:hAnsi="Times New Roman" w:cs="仿宋" w:hint="eastAsia"/>
          <w:color w:val="000000"/>
          <w:sz w:val="32"/>
          <w:szCs w:val="32"/>
        </w:rPr>
        <w:t>〔</w:t>
      </w:r>
      <w:r w:rsidR="002B2097">
        <w:rPr>
          <w:rFonts w:ascii="Times New Roman" w:eastAsia="仿宋_GB2312" w:hAnsi="Times New Roman" w:cs="仿宋" w:hint="eastAsia"/>
          <w:color w:val="000000"/>
          <w:sz w:val="32"/>
          <w:szCs w:val="32"/>
        </w:rPr>
        <w:t>2019</w:t>
      </w:r>
      <w:r w:rsidR="002B2097">
        <w:rPr>
          <w:rFonts w:ascii="Times New Roman" w:eastAsia="仿宋_GB2312" w:hAnsi="Times New Roman" w:cs="仿宋" w:hint="eastAsia"/>
          <w:color w:val="000000"/>
          <w:sz w:val="32"/>
          <w:szCs w:val="32"/>
        </w:rPr>
        <w:t>〕</w:t>
      </w:r>
      <w:r w:rsidR="002B2097">
        <w:rPr>
          <w:rFonts w:ascii="Times New Roman" w:eastAsia="仿宋_GB2312" w:hAnsi="Times New Roman" w:cs="仿宋" w:hint="eastAsia"/>
          <w:color w:val="000000"/>
          <w:sz w:val="32"/>
          <w:szCs w:val="32"/>
        </w:rPr>
        <w:t>8</w:t>
      </w:r>
      <w:r w:rsidR="002B2097">
        <w:rPr>
          <w:rFonts w:ascii="Times New Roman" w:eastAsia="仿宋_GB2312" w:hAnsi="Times New Roman" w:cs="仿宋" w:hint="eastAsia"/>
          <w:color w:val="000000"/>
          <w:sz w:val="32"/>
          <w:szCs w:val="32"/>
        </w:rPr>
        <w:t>号</w:t>
      </w:r>
    </w:p>
    <w:p w:rsidR="00380700" w:rsidRDefault="002B2097">
      <w:pPr>
        <w:widowControl/>
        <w:adjustRightInd w:val="0"/>
        <w:snapToGri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一、当事人情况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有限公司，住所：浙江省衢州</w:t>
      </w:r>
      <w:r>
        <w:rPr>
          <w:rFonts w:ascii="仿宋_GB2312" w:eastAsia="仿宋_GB2312" w:hAnsi="仿宋" w:cs="仿宋" w:hint="eastAsia"/>
          <w:sz w:val="32"/>
          <w:szCs w:val="32"/>
        </w:rPr>
        <w:t>市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柯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城区航埠镇刘山一路</w:t>
      </w:r>
      <w:r>
        <w:rPr>
          <w:rFonts w:ascii="仿宋_GB2312" w:eastAsia="仿宋_GB2312" w:hAnsi="仿宋" w:cs="仿宋" w:hint="eastAsia"/>
          <w:sz w:val="32"/>
          <w:szCs w:val="32"/>
        </w:rPr>
        <w:t>6-1</w:t>
      </w:r>
      <w:r>
        <w:rPr>
          <w:rFonts w:ascii="仿宋_GB2312" w:eastAsia="仿宋_GB2312" w:hAnsi="仿宋" w:cs="仿宋" w:hint="eastAsia"/>
          <w:sz w:val="32"/>
          <w:szCs w:val="32"/>
        </w:rPr>
        <w:t>号，法定代表人：魏昌华，</w:t>
      </w:r>
      <w:r>
        <w:rPr>
          <w:rFonts w:ascii="仿宋_GB2312" w:eastAsia="仿宋_GB2312" w:hAnsi="仿宋" w:cs="仿宋" w:hint="eastAsia"/>
          <w:sz w:val="32"/>
          <w:szCs w:val="32"/>
        </w:rPr>
        <w:t>联系电话：</w:t>
      </w:r>
      <w:r>
        <w:rPr>
          <w:rFonts w:ascii="仿宋_GB2312" w:eastAsia="仿宋_GB2312" w:hAnsi="仿宋" w:cs="仿宋" w:hint="eastAsia"/>
          <w:sz w:val="32"/>
          <w:szCs w:val="32"/>
        </w:rPr>
        <w:t>1390570****</w:t>
      </w:r>
      <w:bookmarkStart w:id="0" w:name="_GoBack"/>
      <w:bookmarkEnd w:id="0"/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z w:val="32"/>
          <w:szCs w:val="32"/>
        </w:rPr>
        <w:t>公司类型：</w:t>
      </w:r>
      <w:r>
        <w:rPr>
          <w:rFonts w:ascii="仿宋_GB2312" w:eastAsia="仿宋_GB2312" w:hAnsi="仿宋" w:cs="仿宋" w:hint="eastAsia"/>
          <w:sz w:val="32"/>
          <w:szCs w:val="32"/>
        </w:rPr>
        <w:t>私营</w:t>
      </w:r>
      <w:r>
        <w:rPr>
          <w:rFonts w:ascii="仿宋_GB2312" w:eastAsia="仿宋_GB2312" w:hAnsi="仿宋" w:cs="仿宋" w:hint="eastAsia"/>
          <w:sz w:val="32"/>
          <w:szCs w:val="32"/>
        </w:rPr>
        <w:t>有限责任公司（自然人控股</w:t>
      </w:r>
      <w:r>
        <w:rPr>
          <w:rFonts w:ascii="仿宋_GB2312" w:eastAsia="仿宋_GB2312" w:hAnsi="仿宋" w:cs="仿宋" w:hint="eastAsia"/>
          <w:sz w:val="32"/>
          <w:szCs w:val="32"/>
        </w:rPr>
        <w:t>或私营性质企业控股</w:t>
      </w:r>
      <w:r>
        <w:rPr>
          <w:rFonts w:ascii="仿宋_GB2312" w:eastAsia="仿宋_GB2312" w:hAnsi="仿宋" w:cs="仿宋" w:hint="eastAsia"/>
          <w:sz w:val="32"/>
          <w:szCs w:val="32"/>
        </w:rPr>
        <w:t>），注册资本：</w:t>
      </w:r>
      <w:r>
        <w:rPr>
          <w:rFonts w:ascii="仿宋_GB2312" w:eastAsia="仿宋_GB2312" w:hAnsi="仿宋" w:cs="仿宋" w:hint="eastAsia"/>
          <w:sz w:val="32"/>
          <w:szCs w:val="32"/>
        </w:rPr>
        <w:t>2550</w:t>
      </w:r>
      <w:r>
        <w:rPr>
          <w:rFonts w:ascii="仿宋_GB2312" w:eastAsia="仿宋_GB2312" w:hAnsi="仿宋" w:cs="仿宋" w:hint="eastAsia"/>
          <w:sz w:val="32"/>
          <w:szCs w:val="32"/>
        </w:rPr>
        <w:t>万元，经营范围：商品混凝土、干粉砂浆生产及销售；预拌混凝土专业承包；道路货物运经营。（依法须经批准的项目，经相关部门批准后方可开展经营活动）。经营期限自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06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日至长期。登记机关：衢州市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柯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城区市场监督管理局，统一社会信用代码：</w:t>
      </w:r>
      <w:r>
        <w:rPr>
          <w:rFonts w:ascii="仿宋_GB2312" w:eastAsia="仿宋_GB2312" w:hAnsi="仿宋" w:cs="仿宋" w:hint="eastAsia"/>
          <w:sz w:val="32"/>
          <w:szCs w:val="32"/>
        </w:rPr>
        <w:t>91330802MA29T4A606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</w:p>
    <w:p w:rsidR="00380700" w:rsidRDefault="002B2097">
      <w:pPr>
        <w:widowControl/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二、案件来源及调查经过</w:t>
      </w:r>
    </w:p>
    <w:p w:rsidR="00380700" w:rsidRDefault="002B2097">
      <w:pPr>
        <w:widowControl/>
        <w:adjustRightIn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日，衢州市市场监管局接市营商办“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营商专交（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）</w:t>
      </w:r>
      <w:r>
        <w:rPr>
          <w:rFonts w:ascii="仿宋_GB2312" w:eastAsia="仿宋_GB2312" w:hAnsi="仿宋" w:cs="仿宋" w:hint="eastAsia"/>
          <w:sz w:val="32"/>
          <w:szCs w:val="32"/>
        </w:rPr>
        <w:t>28</w:t>
      </w:r>
      <w:r>
        <w:rPr>
          <w:rFonts w:ascii="仿宋_GB2312" w:eastAsia="仿宋_GB2312" w:hAnsi="仿宋" w:cs="仿宋" w:hint="eastAsia"/>
          <w:sz w:val="32"/>
          <w:szCs w:val="32"/>
        </w:rPr>
        <w:t>号交办单”，交办事项为“衢州混凝土行业涉嫌垄断”，该局当即向我局汇报并开展前期核查，</w:t>
      </w:r>
      <w:r>
        <w:rPr>
          <w:rFonts w:ascii="仿宋_GB2312" w:eastAsia="仿宋_GB2312" w:hAnsi="仿宋" w:cs="仿宋" w:hint="eastAsia"/>
          <w:sz w:val="32"/>
          <w:szCs w:val="32"/>
        </w:rPr>
        <w:t>10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31</w:t>
      </w:r>
      <w:r>
        <w:rPr>
          <w:rFonts w:ascii="仿宋_GB2312" w:eastAsia="仿宋_GB2312" w:hAnsi="仿宋" w:cs="仿宋" w:hint="eastAsia"/>
          <w:sz w:val="32"/>
          <w:szCs w:val="32"/>
        </w:rPr>
        <w:t>日，总局批复授权我局</w:t>
      </w:r>
      <w:r>
        <w:rPr>
          <w:rFonts w:ascii="仿宋_GB2312" w:eastAsia="仿宋_GB2312" w:hAnsi="仿宋" w:cs="仿宋" w:hint="eastAsia"/>
          <w:sz w:val="32"/>
          <w:szCs w:val="32"/>
        </w:rPr>
        <w:t>立案查处，</w:t>
      </w:r>
      <w:r>
        <w:rPr>
          <w:rFonts w:ascii="仿宋_GB2312" w:eastAsia="仿宋_GB2312" w:hAnsi="仿宋" w:cs="仿宋" w:hint="eastAsia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日，我局根据总局批复成立专案组立案调查。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</w:t>
      </w:r>
    </w:p>
    <w:p w:rsidR="00380700" w:rsidRDefault="002B2097">
      <w:pPr>
        <w:widowControl/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三、违法事实及相关证据</w:t>
      </w:r>
    </w:p>
    <w:p w:rsidR="00380700" w:rsidRDefault="002B2097">
      <w:pPr>
        <w:spacing w:line="600" w:lineRule="exact"/>
        <w:ind w:firstLineChars="200" w:firstLine="632"/>
        <w:rPr>
          <w:rFonts w:ascii="仿宋_GB2312" w:eastAsia="仿宋_GB2312" w:hAnsi="仿宋" w:cs="仿宋"/>
          <w:spacing w:val="-2"/>
          <w:sz w:val="32"/>
          <w:szCs w:val="32"/>
        </w:rPr>
      </w:pPr>
      <w:r>
        <w:rPr>
          <w:rFonts w:ascii="仿宋_GB2312" w:eastAsia="仿宋_GB2312" w:hAnsi="仿宋" w:cs="仿宋" w:hint="eastAsia"/>
          <w:spacing w:val="-2"/>
          <w:sz w:val="32"/>
          <w:szCs w:val="32"/>
        </w:rPr>
        <w:t>经查，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4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月，当事人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有限公司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以下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简称开隆公司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起草了《混凝土行业自律公约》，之后当事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lastRenderedPageBreak/>
        <w:t>人与衢州商品混凝土有限公司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、衢州虎山混凝土有限公司（以下简称虎山公司）、衢州金厦非凡建材有限公司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以下简称金厦公司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、衢州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业建材有限公司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业公司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、衢州山河建材有限公司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以下简称山河公司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、衢州天广建材有限公司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以下简称天广公司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)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衢州园闰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节能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科技有限公司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(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 xml:space="preserve">) 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经磋商达成《混凝土行业自律公约》，约定从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日起，执行市场配额机制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,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其中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月份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商和鑫业公司占市场份额的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27.4902%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、虎山公司占市场份额的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14.2451%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、金厦公司占市场份额的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14.2451%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占市场份额的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13.7451%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、山河公司占市场份额的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13.7451%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、天广公司占市场份额的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11.5294%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占市场份额的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。因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当事人开隆公司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为新成立公司其市场份额逐月递增，直至第一年达到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、第二年达到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9%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，第三年达到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10%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，其每月增加份额部分由其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他七家公司按比例承担。《混凝土行业自律公约》还约定，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500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方以上项目承接，必须经事先预分配后再签订供货合同，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500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方以下的项目由各家销售经理通气后决定由哪家做；约定价格按衢州市造价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站发布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的信息价，下浮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2-8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个点之间。为保证《混凝土行业自律公约》履行，还约定建立月度会议碰头机制、实行总经理行业维护风险金制度（总经理个人交纳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100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万元，月息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分，利息由行业共同承担）、实行奖惩机制、实行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制度（超出配额销售的企业需按照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100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/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立方米的价格对未达到生产配额的企业进行补偿，一月一确认，满一个季度则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lastRenderedPageBreak/>
        <w:t>无条件如数划拨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，现金支付按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不含税，承兑票据支付按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85%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不含税）。</w:t>
      </w:r>
    </w:p>
    <w:p w:rsidR="00380700" w:rsidRDefault="002B2097">
      <w:pPr>
        <w:spacing w:line="600" w:lineRule="exact"/>
        <w:ind w:firstLineChars="200" w:firstLine="632"/>
        <w:rPr>
          <w:rFonts w:ascii="仿宋_GB2312" w:eastAsia="仿宋_GB2312" w:hAnsi="仿宋" w:cs="仿宋"/>
          <w:spacing w:val="-2"/>
          <w:sz w:val="32"/>
          <w:szCs w:val="32"/>
        </w:rPr>
      </w:pPr>
      <w:r>
        <w:rPr>
          <w:rFonts w:ascii="仿宋_GB2312" w:eastAsia="仿宋_GB2312" w:hAnsi="仿宋" w:cs="仿宋" w:hint="eastAsia"/>
          <w:spacing w:val="-2"/>
          <w:sz w:val="32"/>
          <w:szCs w:val="32"/>
        </w:rPr>
        <w:t>《混凝土行业自律公约》达成后，当事人及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商、虎山、金厦、园闰、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业、山河、天广公司市场部或销售部经理分别于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日在虎山公司召开碰头会，会议对每家公司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三个月的实际供应方量、市场份额、收支的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进行了确定，还对各公司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三个月在谈或已谈成的项目进行了备案，并形成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份项目分配名单，均由各公司市场部或销售部经理签字确认。其中按照市场份额及各公司实际供应方量，计算出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两个月各公司收支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如下：虎山公司支付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1371164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元给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商公司，金厦公司支付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852132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元给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商公司、支付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244171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元给山河公司、支付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126938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给开隆公司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，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863532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元给天广公司、支付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1167217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给开隆公司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。上述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笔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各公司已与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月底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月初完成实际支付，支付金额根据《混凝土行业自律公约》约定，现金支付为会议确定金额的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。其中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日虎山公司以泵送费的形式支付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1096931.2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30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日金厦公司通过该公司副总经理张育标个人账户以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名义分别支付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商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公司出纳吴兴梅个人账户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681705.6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元、山河公司法定代表人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姜达清个人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195336.8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30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日金厦公司通过该公司出纳汪志娜母亲池三妹个人账户以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名义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支付开隆公司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出纳吴萍个人账户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lastRenderedPageBreak/>
        <w:t>101550.4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日园闰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公司以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月、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名义分别支付天广公司市场部经理王云飞个人账户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690825.6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元、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出纳吴萍个人账户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933773.6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元。上述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笔资金往来金额正好是约定应支付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的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。（总计约定应支付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4625154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元，实际按照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支付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3700123.2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元）。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月份</w:t>
      </w:r>
      <w:proofErr w:type="gramStart"/>
      <w:r>
        <w:rPr>
          <w:rFonts w:ascii="仿宋_GB2312" w:eastAsia="仿宋_GB2312" w:hAnsi="仿宋" w:cs="仿宋" w:hint="eastAsia"/>
          <w:spacing w:val="-2"/>
          <w:sz w:val="32"/>
          <w:szCs w:val="32"/>
        </w:rPr>
        <w:t>调拨金因案发未</w:t>
      </w:r>
      <w:proofErr w:type="gramEnd"/>
      <w:r>
        <w:rPr>
          <w:rFonts w:ascii="仿宋_GB2312" w:eastAsia="仿宋_GB2312" w:hAnsi="仿宋" w:cs="仿宋" w:hint="eastAsia"/>
          <w:spacing w:val="-2"/>
          <w:sz w:val="32"/>
          <w:szCs w:val="32"/>
        </w:rPr>
        <w:t>实际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支付。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另查明，当事人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有限公司因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年度未投产，故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年度无销售额。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以上事实有下列证据材料予以证实：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．外围证据材料，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月相关建筑企业、项目经理询问调查笔录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份及部分混凝土买卖合同：证实市区现有</w:t>
      </w:r>
      <w:r>
        <w:rPr>
          <w:rFonts w:ascii="仿宋_GB2312" w:eastAsia="仿宋_GB2312" w:hAnsi="仿宋" w:cs="仿宋" w:hint="eastAsia"/>
          <w:sz w:val="32"/>
          <w:szCs w:val="32"/>
        </w:rPr>
        <w:t>7+1</w:t>
      </w:r>
      <w:r>
        <w:rPr>
          <w:rFonts w:ascii="仿宋_GB2312" w:eastAsia="仿宋_GB2312" w:hAnsi="仿宋" w:cs="仿宋" w:hint="eastAsia"/>
          <w:sz w:val="32"/>
          <w:szCs w:val="32"/>
        </w:rPr>
        <w:t>家混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疑土供应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单位存在通过内部协商，划分市场份额、统一价格等涉嫌垄断行为，新上项目客户去联系混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土企业时，非内定供货企业一般会找理由推脱拒绝供货，且每家混凝土企业价格基本一致。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日现场检查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从开隆公司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取到的《混凝土行业自律公约》：证明当事人与其他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</w:t>
      </w:r>
      <w:r>
        <w:rPr>
          <w:rFonts w:ascii="仿宋_GB2312" w:eastAsia="仿宋_GB2312" w:hAnsi="仿宋" w:cs="仿宋" w:hint="eastAsia"/>
          <w:sz w:val="32"/>
          <w:szCs w:val="32"/>
        </w:rPr>
        <w:t>企业从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月开始分配各自的市场份额、统一价格、划分新开工的项目，以及如何保证份额、价格、项目划分实施的措施，比如通过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等。</w:t>
      </w:r>
    </w:p>
    <w:p w:rsidR="00380700" w:rsidRDefault="002B2097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日三份会议纪要：证明当事人与其他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家混凝土生产企业的市场部或销售部经理分别于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日在虎山公司开会确认各公司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三个月的真实供应量，以及按照各公司每月的供应量和《行业自律公约》上规定的市场份额计算出的每家公司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三个月进出的调拨金。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．三份项目分配名单：证实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日当事人与其他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家混凝土生产企业市场部或销售部经理会议中按照《行业自律公约》的规定对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三个月各公司在谈或已谈成项目进行了备案或分配。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商公司便签纸一份：证实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家混凝土公司之间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收支金额及收支对象。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日开隆公司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现场检查笔录：证实《混凝土行业自律公约》、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份项目分配名单、</w:t>
      </w: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份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商公司便签纸系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从开隆公司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总经理郑志刚办公室取得，并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由开隆</w:t>
      </w:r>
      <w:r>
        <w:rPr>
          <w:rFonts w:ascii="仿宋_GB2312" w:eastAsia="仿宋_GB2312" w:hAnsi="仿宋" w:cs="仿宋" w:hint="eastAsia"/>
          <w:sz w:val="32"/>
          <w:szCs w:val="32"/>
        </w:rPr>
        <w:t>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法定代表人魏昌华签字确认。</w:t>
      </w:r>
    </w:p>
    <w:p w:rsidR="00380700" w:rsidRDefault="002B2097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日虎山公司市场部经理范金江、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日金厦公司市场部经理黄雁、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10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日园闰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公司销售部经理刘济敏、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业公司销售部经理毛建平、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日天广公司副总经理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兼销售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部经理蔡炬声、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日山河公司销售部经理徐俊、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销售部经理郑东理询问调查笔录：证实老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家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加上开隆公司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的市场部或销售部经理分别于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日在虎山公司就各公司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三个月的实际供应方量、市场份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额、收支的调拨金、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月各公司之间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收支金额及收支对象、各公司每月在谈或已谈成的项目情况开会协商确认，并形成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份项目分配名单、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商公司便签纸，各市场部经理对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份会议纪要和项目分配名单签字确认。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．杨芳、郭红丽、张育标、池三妹、吴兴梅、姜达清、吴萍、王云飞银行账户对账单及相关财务凭证，证实各公司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收支支付情况。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、山河公司、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法定代表人曾小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祥</w:t>
      </w:r>
      <w:r>
        <w:rPr>
          <w:rFonts w:ascii="仿宋_GB2312" w:eastAsia="仿宋_GB2312" w:hAnsi="仿宋" w:cs="仿宋" w:hint="eastAsia"/>
          <w:sz w:val="32"/>
          <w:szCs w:val="32"/>
        </w:rPr>
        <w:t>、姜达清、魏昌华询问调查笔录，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及受虎山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公司、金厦公司、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业、天广法定代表人委托接受调查的上述公司</w:t>
      </w:r>
      <w:r>
        <w:rPr>
          <w:rFonts w:ascii="仿宋_GB2312" w:eastAsia="仿宋_GB2312" w:hAnsi="仿宋" w:cs="仿宋" w:hint="eastAsia"/>
          <w:sz w:val="32"/>
          <w:szCs w:val="32"/>
        </w:rPr>
        <w:t>总经理周志红、胡新豪、邓利锋、范立洪询问调查笔录，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总经理郑志刚询问调查笔录：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证实开隆公司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起草行业自律公约，各公司达成行业自律公约，并通过会议纪要、市场份额、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等形式实施垄断协议。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10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z w:val="32"/>
          <w:szCs w:val="32"/>
        </w:rPr>
        <w:t>日虎山公司车辆租赁车主王永健询问调查笔录：证明虎山公司于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26</w:t>
      </w:r>
      <w:r>
        <w:rPr>
          <w:rFonts w:ascii="仿宋_GB2312" w:eastAsia="仿宋_GB2312" w:hAnsi="仿宋" w:cs="仿宋" w:hint="eastAsia"/>
          <w:sz w:val="32"/>
          <w:szCs w:val="32"/>
        </w:rPr>
        <w:t>日以泵送费的形式转账支付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z w:val="32"/>
          <w:szCs w:val="32"/>
        </w:rPr>
        <w:t>1096931.2</w:t>
      </w:r>
      <w:r>
        <w:rPr>
          <w:rFonts w:ascii="仿宋_GB2312" w:eastAsia="仿宋_GB2312" w:hAnsi="仿宋" w:cs="仿宋" w:hint="eastAsia"/>
          <w:sz w:val="32"/>
          <w:szCs w:val="32"/>
        </w:rPr>
        <w:t>元的结算方式与真实运输泵送业务结算方式不符。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z w:val="32"/>
          <w:szCs w:val="32"/>
        </w:rPr>
        <w:t>．从当事人处提取的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年资产负债表、利润表、相关财务凭证及相关询问笔录证实当事人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年度销售额。</w:t>
      </w:r>
    </w:p>
    <w:p w:rsidR="00380700" w:rsidRDefault="002B2097">
      <w:pPr>
        <w:spacing w:line="600" w:lineRule="exact"/>
        <w:ind w:firstLineChars="200" w:firstLine="632"/>
        <w:rPr>
          <w:rFonts w:ascii="仿宋_GB2312" w:eastAsia="仿宋_GB2312" w:hAnsi="仿宋" w:cs="仿宋"/>
          <w:spacing w:val="-2"/>
          <w:sz w:val="32"/>
          <w:szCs w:val="32"/>
        </w:rPr>
      </w:pPr>
      <w:r>
        <w:rPr>
          <w:rFonts w:ascii="仿宋_GB2312" w:eastAsia="仿宋_GB2312" w:hAnsi="仿宋" w:cs="仿宋" w:hint="eastAsia"/>
          <w:spacing w:val="-2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日衢州市建设造价管理站混凝土价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lastRenderedPageBreak/>
        <w:t>格信息：证明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月至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2</w:t>
      </w:r>
      <w:r>
        <w:rPr>
          <w:rFonts w:ascii="仿宋_GB2312" w:eastAsia="仿宋_GB2312" w:hAnsi="仿宋" w:cs="仿宋" w:hint="eastAsia"/>
          <w:spacing w:val="-2"/>
          <w:sz w:val="32"/>
          <w:szCs w:val="32"/>
        </w:rPr>
        <w:t>月衢州市混凝土信息价。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13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15</w:t>
      </w:r>
      <w:r>
        <w:rPr>
          <w:rFonts w:ascii="仿宋_GB2312" w:eastAsia="仿宋_GB2312" w:hAnsi="仿宋" w:cs="仿宋" w:hint="eastAsia"/>
          <w:sz w:val="32"/>
          <w:szCs w:val="32"/>
        </w:rPr>
        <w:t>日衢州市散装水泥办公室情况说明：证实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月前衢州市区混凝土由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商、虎山、金厦、园闰、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业、山河、天广、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公司供应。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bCs/>
          <w:sz w:val="32"/>
          <w:szCs w:val="32"/>
        </w:rPr>
      </w:pPr>
      <w:r>
        <w:rPr>
          <w:rFonts w:ascii="仿宋_GB2312" w:eastAsia="仿宋_GB2312" w:hAnsi="仿宋" w:cs="仿宋" w:hint="eastAsia"/>
          <w:bCs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bCs/>
          <w:sz w:val="32"/>
          <w:szCs w:val="32"/>
        </w:rPr>
        <w:t>年</w:t>
      </w:r>
      <w:r>
        <w:rPr>
          <w:rFonts w:ascii="仿宋_GB2312" w:eastAsia="仿宋_GB2312" w:hAnsi="仿宋" w:cs="仿宋" w:hint="eastAsia"/>
          <w:bCs/>
          <w:sz w:val="32"/>
          <w:szCs w:val="32"/>
        </w:rPr>
        <w:t>4</w:t>
      </w:r>
      <w:r>
        <w:rPr>
          <w:rFonts w:ascii="仿宋_GB2312" w:eastAsia="仿宋_GB2312" w:hAnsi="仿宋" w:cs="仿宋" w:hint="eastAsia"/>
          <w:bCs/>
          <w:sz w:val="32"/>
          <w:szCs w:val="32"/>
        </w:rPr>
        <w:t>月</w:t>
      </w:r>
      <w:r>
        <w:rPr>
          <w:rFonts w:ascii="仿宋_GB2312" w:eastAsia="仿宋_GB2312" w:hAnsi="仿宋" w:cs="仿宋" w:hint="eastAsia"/>
          <w:bCs/>
          <w:sz w:val="32"/>
          <w:szCs w:val="32"/>
        </w:rPr>
        <w:t>29</w:t>
      </w:r>
      <w:r>
        <w:rPr>
          <w:rFonts w:ascii="仿宋_GB2312" w:eastAsia="仿宋_GB2312" w:hAnsi="仿宋" w:cs="仿宋" w:hint="eastAsia"/>
          <w:bCs/>
          <w:sz w:val="32"/>
          <w:szCs w:val="32"/>
        </w:rPr>
        <w:t>日，本局向当事人送达了</w:t>
      </w:r>
      <w:proofErr w:type="gramStart"/>
      <w:r>
        <w:rPr>
          <w:rFonts w:ascii="仿宋_GB2312" w:eastAsia="仿宋_GB2312" w:hAnsi="仿宋" w:cs="仿宋" w:hint="eastAsia"/>
          <w:bCs/>
          <w:sz w:val="32"/>
          <w:szCs w:val="32"/>
        </w:rPr>
        <w:t>浙市监反</w:t>
      </w:r>
      <w:proofErr w:type="gramEnd"/>
      <w:r>
        <w:rPr>
          <w:rFonts w:ascii="仿宋_GB2312" w:eastAsia="仿宋_GB2312" w:hAnsi="仿宋" w:cs="仿宋" w:hint="eastAsia"/>
          <w:bCs/>
          <w:sz w:val="32"/>
          <w:szCs w:val="32"/>
        </w:rPr>
        <w:t>垄断告字（</w:t>
      </w:r>
      <w:r>
        <w:rPr>
          <w:rFonts w:ascii="仿宋_GB2312" w:eastAsia="仿宋_GB2312" w:hAnsi="仿宋" w:cs="仿宋" w:hint="eastAsia"/>
          <w:bCs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）</w:t>
      </w:r>
      <w:r>
        <w:rPr>
          <w:rFonts w:ascii="仿宋_GB2312" w:eastAsia="仿宋_GB2312" w:hAnsi="仿宋" w:cs="仿宋" w:hint="eastAsia"/>
          <w:bCs/>
          <w:sz w:val="32"/>
          <w:szCs w:val="32"/>
        </w:rPr>
        <w:t>1</w:t>
      </w:r>
      <w:r>
        <w:rPr>
          <w:rFonts w:ascii="仿宋_GB2312" w:eastAsia="仿宋_GB2312" w:hAnsi="仿宋" w:cs="仿宋" w:hint="eastAsia"/>
          <w:bCs/>
          <w:sz w:val="32"/>
          <w:szCs w:val="32"/>
        </w:rPr>
        <w:t>号《行政处罚告知书》。当事人在法定期限内未提出陈述、申辩要求。</w:t>
      </w:r>
    </w:p>
    <w:p w:rsidR="00380700" w:rsidRDefault="002B2097">
      <w:pPr>
        <w:widowControl/>
        <w:numPr>
          <w:ilvl w:val="0"/>
          <w:numId w:val="1"/>
        </w:numPr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行政处罚依据和决定</w:t>
      </w:r>
    </w:p>
    <w:p w:rsidR="00380700" w:rsidRDefault="002B2097">
      <w:pPr>
        <w:widowControl/>
        <w:adjustRightIn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本局认为，</w:t>
      </w:r>
      <w:r>
        <w:rPr>
          <w:rFonts w:ascii="仿宋_GB2312" w:eastAsia="仿宋_GB2312" w:hAnsi="仿宋" w:cs="仿宋" w:hint="eastAsia"/>
          <w:sz w:val="32"/>
          <w:szCs w:val="32"/>
        </w:rPr>
        <w:t>因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生产</w:t>
      </w:r>
      <w:r>
        <w:rPr>
          <w:rFonts w:ascii="仿宋_GB2312" w:eastAsia="仿宋_GB2312" w:hAnsi="仿宋" w:cs="仿宋" w:hint="eastAsia"/>
          <w:sz w:val="32"/>
          <w:szCs w:val="32"/>
        </w:rPr>
        <w:t>运输</w:t>
      </w:r>
      <w:r>
        <w:rPr>
          <w:rFonts w:ascii="仿宋_GB2312" w:eastAsia="仿宋_GB2312" w:hAnsi="仿宋" w:cs="仿宋" w:hint="eastAsia"/>
          <w:sz w:val="32"/>
          <w:szCs w:val="32"/>
        </w:rPr>
        <w:t>等特殊</w:t>
      </w:r>
      <w:r>
        <w:rPr>
          <w:rFonts w:ascii="仿宋_GB2312" w:eastAsia="仿宋_GB2312" w:hAnsi="仿宋" w:cs="仿宋" w:hint="eastAsia"/>
          <w:sz w:val="32"/>
          <w:szCs w:val="32"/>
        </w:rPr>
        <w:t>因素，衢州市区范围内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月至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均</w:t>
      </w:r>
      <w:r>
        <w:rPr>
          <w:rFonts w:ascii="仿宋_GB2312" w:eastAsia="仿宋_GB2312" w:hAnsi="仿宋" w:cs="仿宋" w:hint="eastAsia"/>
          <w:sz w:val="32"/>
          <w:szCs w:val="32"/>
        </w:rPr>
        <w:t>由涉案的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r>
        <w:rPr>
          <w:rFonts w:ascii="仿宋_GB2312" w:eastAsia="仿宋_GB2312" w:hAnsi="仿宋" w:cs="仿宋" w:hint="eastAsia"/>
          <w:sz w:val="32"/>
          <w:szCs w:val="32"/>
        </w:rPr>
        <w:t>当事人供应</w:t>
      </w:r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r>
        <w:rPr>
          <w:rFonts w:ascii="仿宋_GB2312" w:eastAsia="仿宋_GB2312" w:hAnsi="仿宋" w:cs="仿宋" w:hint="eastAsia"/>
          <w:sz w:val="32"/>
          <w:szCs w:val="32"/>
        </w:rPr>
        <w:t>当事人在衢州市区预拌混凝土市场互为竞争对手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有限公司与其他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</w:t>
      </w:r>
      <w:r>
        <w:rPr>
          <w:rFonts w:ascii="仿宋_GB2312" w:eastAsia="仿宋_GB2312" w:hAnsi="仿宋" w:cs="仿宋" w:hint="eastAsia"/>
          <w:sz w:val="32"/>
          <w:szCs w:val="32"/>
        </w:rPr>
        <w:t>为达到市场限制竞争为目的，以</w:t>
      </w:r>
      <w:r>
        <w:rPr>
          <w:rFonts w:ascii="仿宋_GB2312" w:eastAsia="仿宋_GB2312" w:hAnsi="仿宋" w:cs="仿宋" w:hint="eastAsia"/>
          <w:sz w:val="32"/>
          <w:szCs w:val="32"/>
        </w:rPr>
        <w:t>《行业自律公约》</w:t>
      </w:r>
      <w:r>
        <w:rPr>
          <w:rFonts w:ascii="仿宋_GB2312" w:eastAsia="仿宋_GB2312" w:hAnsi="仿宋" w:cs="仿宋" w:hint="eastAsia"/>
          <w:sz w:val="32"/>
          <w:szCs w:val="32"/>
        </w:rPr>
        <w:t>形式达成并实施了垄断</w:t>
      </w:r>
      <w:r>
        <w:rPr>
          <w:rFonts w:ascii="仿宋_GB2312" w:eastAsia="仿宋_GB2312" w:hAnsi="仿宋" w:cs="仿宋" w:hint="eastAsia"/>
          <w:sz w:val="32"/>
          <w:szCs w:val="32"/>
        </w:rPr>
        <w:t>协议，划分</w:t>
      </w:r>
      <w:r>
        <w:rPr>
          <w:rFonts w:ascii="仿宋_GB2312" w:eastAsia="仿宋_GB2312" w:hAnsi="仿宋" w:cs="仿宋" w:hint="eastAsia"/>
          <w:sz w:val="32"/>
          <w:szCs w:val="32"/>
        </w:rPr>
        <w:t>了衢州市区预拌混凝土</w:t>
      </w:r>
      <w:r>
        <w:rPr>
          <w:rFonts w:ascii="仿宋_GB2312" w:eastAsia="仿宋_GB2312" w:hAnsi="仿宋" w:cs="仿宋" w:hint="eastAsia"/>
          <w:sz w:val="32"/>
          <w:szCs w:val="32"/>
        </w:rPr>
        <w:t>市场份额、限制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生产数量及销售数量，</w:t>
      </w:r>
      <w:r>
        <w:rPr>
          <w:rFonts w:ascii="仿宋_GB2312" w:eastAsia="仿宋_GB2312" w:hAnsi="仿宋" w:cs="仿宋" w:hint="eastAsia"/>
          <w:sz w:val="32"/>
          <w:szCs w:val="32"/>
        </w:rPr>
        <w:t>从而获取了对</w:t>
      </w:r>
      <w:r>
        <w:rPr>
          <w:rFonts w:ascii="仿宋_GB2312" w:eastAsia="仿宋_GB2312" w:hAnsi="仿宋" w:cs="仿宋" w:hint="eastAsia"/>
          <w:sz w:val="32"/>
          <w:szCs w:val="32"/>
        </w:rPr>
        <w:t>衢州市区预拌混凝土市场</w:t>
      </w:r>
      <w:r>
        <w:rPr>
          <w:rFonts w:ascii="仿宋_GB2312" w:eastAsia="仿宋_GB2312" w:hAnsi="仿宋" w:cs="仿宋" w:hint="eastAsia"/>
          <w:sz w:val="32"/>
          <w:szCs w:val="32"/>
        </w:rPr>
        <w:t>的绝对控制权利，</w:t>
      </w:r>
      <w:r>
        <w:rPr>
          <w:rFonts w:ascii="仿宋_GB2312" w:eastAsia="仿宋_GB2312" w:hAnsi="仿宋" w:cs="仿宋" w:hint="eastAsia"/>
          <w:sz w:val="32"/>
          <w:szCs w:val="32"/>
        </w:rPr>
        <w:t>排除</w:t>
      </w:r>
      <w:r>
        <w:rPr>
          <w:rFonts w:ascii="仿宋_GB2312" w:eastAsia="仿宋_GB2312" w:hAnsi="仿宋" w:cs="仿宋" w:hint="eastAsia"/>
          <w:sz w:val="32"/>
          <w:szCs w:val="32"/>
        </w:rPr>
        <w:t>和</w:t>
      </w:r>
      <w:r>
        <w:rPr>
          <w:rFonts w:ascii="仿宋_GB2312" w:eastAsia="仿宋_GB2312" w:hAnsi="仿宋" w:cs="仿宋" w:hint="eastAsia"/>
          <w:sz w:val="32"/>
          <w:szCs w:val="32"/>
        </w:rPr>
        <w:t>限制了</w:t>
      </w:r>
      <w:r>
        <w:rPr>
          <w:rFonts w:ascii="仿宋_GB2312" w:eastAsia="仿宋_GB2312" w:hAnsi="仿宋" w:cs="仿宋" w:hint="eastAsia"/>
          <w:sz w:val="32"/>
          <w:szCs w:val="32"/>
        </w:rPr>
        <w:t>正常的市场</w:t>
      </w:r>
      <w:r>
        <w:rPr>
          <w:rFonts w:ascii="仿宋_GB2312" w:eastAsia="仿宋_GB2312" w:hAnsi="仿宋" w:cs="仿宋" w:hint="eastAsia"/>
          <w:sz w:val="32"/>
          <w:szCs w:val="32"/>
        </w:rPr>
        <w:t>竞争。</w:t>
      </w:r>
    </w:p>
    <w:p w:rsidR="00380700" w:rsidRDefault="002B2097">
      <w:pPr>
        <w:widowControl/>
        <w:adjustRightIn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当事人的垄断</w:t>
      </w:r>
      <w:r>
        <w:rPr>
          <w:rFonts w:ascii="仿宋_GB2312" w:eastAsia="仿宋_GB2312" w:hAnsi="仿宋" w:cs="仿宋" w:hint="eastAsia"/>
          <w:sz w:val="32"/>
          <w:szCs w:val="32"/>
        </w:rPr>
        <w:t>行为违反了《中华人民共和国反垄断法》第十三条第一款第（二）项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z w:val="32"/>
          <w:szCs w:val="32"/>
        </w:rPr>
        <w:t>“禁止具有竞争关系的经营者达成下列垄断协议：（二）限制</w:t>
      </w:r>
      <w:r>
        <w:rPr>
          <w:rFonts w:ascii="仿宋_GB2312" w:eastAsia="仿宋_GB2312" w:hAnsi="仿宋" w:cs="仿宋" w:hint="eastAsia"/>
          <w:sz w:val="32"/>
          <w:szCs w:val="32"/>
        </w:rPr>
        <w:t>商品的生产</w:t>
      </w:r>
      <w:r>
        <w:rPr>
          <w:rFonts w:ascii="仿宋_GB2312" w:eastAsia="仿宋_GB2312" w:hAnsi="仿宋" w:cs="仿宋" w:hint="eastAsia"/>
          <w:sz w:val="32"/>
          <w:szCs w:val="32"/>
        </w:rPr>
        <w:t>数量或销售数量；”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z w:val="32"/>
          <w:szCs w:val="32"/>
        </w:rPr>
        <w:t>《工商行政管理机关禁止垄断协议行</w:t>
      </w:r>
      <w:r>
        <w:rPr>
          <w:rFonts w:ascii="仿宋_GB2312" w:eastAsia="仿宋_GB2312" w:hAnsi="仿宋" w:cs="仿宋" w:hint="eastAsia"/>
          <w:sz w:val="32"/>
          <w:szCs w:val="32"/>
        </w:rPr>
        <w:t>为的规定》第四条第一款第（一）项“禁止具有竞争关系的经营者就限制商品的生产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数量或者销售数量达成下列垄断协议：（一）以限制产量、固定产量、停止生产等方式限制商品的生产数量或者限制商品特定品种、型号的生产数量”之规定，属于通过达成并实施垄断协议，限制商品生产数量或销售数量的违法行为。根据《中华人民共和国反垄断法》第四十六条第一款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z w:val="32"/>
          <w:szCs w:val="32"/>
        </w:rPr>
        <w:t>“经营者违反本法规定，达成并实施垄断协议的，由反垄断执法机构责令停止违法行为，没收违法所得，并处上一年度销售额百分之一以上百分之十以下的罚款；尚未实施所达成的垄断协议的，可以处五十万元</w:t>
      </w:r>
      <w:r>
        <w:rPr>
          <w:rFonts w:ascii="仿宋_GB2312" w:eastAsia="仿宋_GB2312" w:hAnsi="仿宋" w:cs="仿宋" w:hint="eastAsia"/>
          <w:sz w:val="32"/>
          <w:szCs w:val="32"/>
        </w:rPr>
        <w:t>以下的罚款”；《工商行政管理机关禁止垄断协议行为的规定》第十条“经营者违反本规定第四条至第八条规定，达成并实施垄断协议的，由工商行政管理机关责令停止违法行为，没收违法所得，并处上一年度销售额百分之一以上百分之十以下的罚款；尚未实施所达成的垄断协议的，可以处五十万元以下的罚款”；以及《中华人民共和国反垄断法》第四十九条“对本法第四十六条、第四十七条、第四十八条规定的罚款，反垄断执法机构确定具体罚款数额时，应当考虑违法行为的性质、程度和持续的时间等因素”之规定。考虑到当事人垄断协议后商品混凝土供应影响范围仅限衢</w:t>
      </w:r>
      <w:r>
        <w:rPr>
          <w:rFonts w:ascii="仿宋_GB2312" w:eastAsia="仿宋_GB2312" w:hAnsi="仿宋" w:cs="仿宋" w:hint="eastAsia"/>
          <w:sz w:val="32"/>
          <w:szCs w:val="32"/>
        </w:rPr>
        <w:t>州市区，且持续时间较短仅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个月，且因当事人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年度未投产，上一年度无销售额，</w:t>
      </w:r>
      <w:r>
        <w:rPr>
          <w:rFonts w:ascii="仿宋_GB2312" w:eastAsia="仿宋_GB2312" w:hAnsi="仿宋" w:cs="仿宋" w:hint="eastAsia"/>
          <w:spacing w:val="-2"/>
          <w:kern w:val="0"/>
          <w:sz w:val="32"/>
          <w:szCs w:val="32"/>
        </w:rPr>
        <w:t>本局决定对当事人处罚如下</w:t>
      </w:r>
      <w:r>
        <w:rPr>
          <w:rFonts w:ascii="仿宋_GB2312" w:eastAsia="仿宋_GB2312" w:hAnsi="仿宋" w:cs="仿宋" w:hint="eastAsia"/>
          <w:sz w:val="32"/>
          <w:szCs w:val="32"/>
        </w:rPr>
        <w:t>：责令停止违法行为。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你单位如不服本行政处罚决定，可在接到本行政处罚决定书之日起</w:t>
      </w:r>
      <w:r>
        <w:rPr>
          <w:rFonts w:ascii="仿宋_GB2312" w:eastAsia="仿宋_GB2312" w:hAnsi="仿宋" w:cs="仿宋" w:hint="eastAsia"/>
          <w:sz w:val="32"/>
          <w:szCs w:val="32"/>
        </w:rPr>
        <w:t>60</w:t>
      </w:r>
      <w:r>
        <w:rPr>
          <w:rFonts w:ascii="仿宋_GB2312" w:eastAsia="仿宋_GB2312" w:hAnsi="仿宋" w:cs="仿宋" w:hint="eastAsia"/>
          <w:sz w:val="32"/>
          <w:szCs w:val="32"/>
        </w:rPr>
        <w:t>日内向国家市场监督管理总局或浙江省人民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政府申请复议，也可以在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个月内依法向杭州市西湖区人民法院提起行政诉讼。当事人对行政处罚决定不服申请行政复议或者提起行政诉讼的，行政处罚不停止执行。</w:t>
      </w:r>
    </w:p>
    <w:p w:rsidR="00380700" w:rsidRDefault="002B2097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根据《企业信息公示暂行条例》等有关规定，本局将通过企业信用信息公示系统、门户网站、专业网站等公示行政处罚信息。</w:t>
      </w:r>
    </w:p>
    <w:p w:rsidR="00F93FD6" w:rsidRDefault="00F93FD6" w:rsidP="00F93FD6">
      <w:pPr>
        <w:spacing w:line="500" w:lineRule="exact"/>
        <w:ind w:right="1280"/>
        <w:rPr>
          <w:rFonts w:ascii="仿宋_GB2312" w:eastAsia="仿宋_GB2312"/>
          <w:sz w:val="32"/>
          <w:szCs w:val="32"/>
        </w:rPr>
      </w:pPr>
    </w:p>
    <w:p w:rsidR="00F93FD6" w:rsidRDefault="00F93FD6" w:rsidP="00F93FD6">
      <w:pPr>
        <w:spacing w:line="500" w:lineRule="exact"/>
        <w:ind w:right="1280"/>
        <w:rPr>
          <w:rFonts w:ascii="仿宋_GB2312" w:eastAsia="仿宋_GB2312" w:hint="eastAsia"/>
          <w:sz w:val="32"/>
          <w:szCs w:val="32"/>
        </w:rPr>
      </w:pPr>
    </w:p>
    <w:p w:rsidR="00F93FD6" w:rsidRDefault="00F93FD6" w:rsidP="00F93FD6">
      <w:pPr>
        <w:spacing w:line="500" w:lineRule="exact"/>
        <w:ind w:right="1280"/>
        <w:rPr>
          <w:rFonts w:ascii="仿宋_GB2312" w:eastAsia="仿宋_GB2312" w:hint="eastAsia"/>
          <w:sz w:val="32"/>
          <w:szCs w:val="32"/>
        </w:rPr>
      </w:pPr>
    </w:p>
    <w:p w:rsidR="00F93FD6" w:rsidRDefault="00F93FD6" w:rsidP="00F93FD6">
      <w:pPr>
        <w:spacing w:line="500" w:lineRule="exact"/>
        <w:ind w:right="1280" w:firstLineChars="1000" w:firstLine="3200"/>
        <w:rPr>
          <w:rFonts w:ascii="仿宋_GB2312" w:eastAsia="仿宋_GB2312" w:hint="eastAsia"/>
          <w:sz w:val="32"/>
          <w:szCs w:val="32"/>
        </w:rPr>
      </w:pPr>
    </w:p>
    <w:p w:rsidR="00F93FD6" w:rsidRDefault="00F93FD6" w:rsidP="00F93FD6">
      <w:pPr>
        <w:spacing w:line="500" w:lineRule="exact"/>
        <w:ind w:right="1280" w:firstLineChars="1100" w:firstLine="35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浙江省市场监督管理局 </w:t>
      </w:r>
    </w:p>
    <w:p w:rsidR="00F93FD6" w:rsidRDefault="00F93FD6" w:rsidP="00F93FD6">
      <w:pPr>
        <w:adjustRightInd w:val="0"/>
        <w:snapToGrid w:val="0"/>
        <w:spacing w:line="500" w:lineRule="exact"/>
        <w:ind w:right="640" w:firstLine="601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2019年5月8日   </w:t>
      </w:r>
    </w:p>
    <w:p w:rsidR="00380700" w:rsidRDefault="00380700" w:rsidP="00F93FD6">
      <w:pPr>
        <w:spacing w:line="500" w:lineRule="exact"/>
        <w:ind w:right="1280"/>
        <w:rPr>
          <w:rFonts w:eastAsia="仿宋_GB2312" w:cs="仿宋"/>
          <w:color w:val="000000"/>
          <w:sz w:val="32"/>
          <w:szCs w:val="32"/>
          <w:u w:val="single"/>
        </w:rPr>
      </w:pPr>
    </w:p>
    <w:sectPr w:rsidR="00380700" w:rsidSect="003807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097" w:rsidRDefault="002B2097" w:rsidP="00F93FD6">
      <w:r>
        <w:separator/>
      </w:r>
    </w:p>
  </w:endnote>
  <w:endnote w:type="continuationSeparator" w:id="0">
    <w:p w:rsidR="002B2097" w:rsidRDefault="002B2097" w:rsidP="00F93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097" w:rsidRDefault="002B2097" w:rsidP="00F93FD6">
      <w:r>
        <w:separator/>
      </w:r>
    </w:p>
  </w:footnote>
  <w:footnote w:type="continuationSeparator" w:id="0">
    <w:p w:rsidR="002B2097" w:rsidRDefault="002B2097" w:rsidP="00F93F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88C94"/>
    <w:multiLevelType w:val="singleLevel"/>
    <w:tmpl w:val="2CC88C9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1C7512"/>
    <w:rsid w:val="002B2097"/>
    <w:rsid w:val="00380700"/>
    <w:rsid w:val="00F93FD6"/>
    <w:rsid w:val="0407496C"/>
    <w:rsid w:val="0A6872D9"/>
    <w:rsid w:val="152F5679"/>
    <w:rsid w:val="1D080E92"/>
    <w:rsid w:val="38787A8F"/>
    <w:rsid w:val="471C7512"/>
    <w:rsid w:val="4D644AB2"/>
    <w:rsid w:val="6FF66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070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93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93FD6"/>
    <w:rPr>
      <w:kern w:val="2"/>
      <w:sz w:val="18"/>
      <w:szCs w:val="18"/>
    </w:rPr>
  </w:style>
  <w:style w:type="paragraph" w:styleId="a4">
    <w:name w:val="footer"/>
    <w:basedOn w:val="a"/>
    <w:link w:val="Char0"/>
    <w:rsid w:val="00F93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93FD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711</Words>
  <Characters>4055</Characters>
  <Application>Microsoft Office Word</Application>
  <DocSecurity>0</DocSecurity>
  <Lines>33</Lines>
  <Paragraphs>9</Paragraphs>
  <ScaleCrop>false</ScaleCrop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3</cp:revision>
  <dcterms:created xsi:type="dcterms:W3CDTF">2019-05-05T02:39:00Z</dcterms:created>
  <dcterms:modified xsi:type="dcterms:W3CDTF">2019-05-29T08:40:00Z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