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22</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bookmarkStart w:id="5" w:name="_GoBack"/>
      <w:bookmarkEnd w:id="5"/>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杭州余杭恒力混凝土有限公司；</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法定代表人：胡佐平；</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13805783588；</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地址：杭州余杭区仁和街道栅庄桥村；</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公司形式：有限责任公司（自然人投资或控股的法人独资）；</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成立时间：2009年1月19日；</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经营范围：生产:商品混凝土;货运:普通货运、货物专用运输(罐式)。销售:商品混凝土；</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9133011068293650XR</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根据原国家工商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eastAsia="仿宋_GB2312"/>
          <w:color w:val="000000" w:themeColor="text1"/>
          <w14:textFill>
            <w14:solidFill>
              <w14:schemeClr w14:val="tx1"/>
            </w14:solidFill>
          </w14:textFill>
        </w:rPr>
        <w:t>杭州余杭恒力混凝土有限公司</w:t>
      </w:r>
      <w:r>
        <w:rPr>
          <w:rFonts w:hint="eastAsia" w:ascii="仿宋_GB2312" w:hAnsi="仿宋" w:eastAsia="仿宋_GB2312"/>
          <w:color w:val="000000" w:themeColor="text1"/>
          <w14:textFill>
            <w14:solidFill>
              <w14:schemeClr w14:val="tx1"/>
            </w14:solidFill>
          </w14:textFill>
        </w:rPr>
        <w:t>（以下简称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余杭恒力</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参与达成垄断协议的行为进行立案调查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日依法向余杭恒力送达了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，告知其涉嫌违法的事实、拟作出的行政处罚决定、理由和依据，以及依法享有陈述、申辩或要求举行听证的权利。余杭恒力</w:t>
      </w:r>
      <w:r>
        <w:rPr>
          <w:rFonts w:hint="eastAsia" w:ascii="仿宋_GB2312" w:hAnsi="仿宋" w:eastAsia="仿宋_GB2312"/>
          <w:color w:val="000000" w:themeColor="text1"/>
          <w:lang w:eastAsia="zh-CN"/>
          <w14:textFill>
            <w14:solidFill>
              <w14:schemeClr w14:val="tx1"/>
            </w14:solidFill>
          </w14:textFill>
        </w:rPr>
        <w:t>公司</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Tahoma" w:eastAsia="仿宋_GB2312"/>
          <w:color w:val="000000" w:themeColor="text1"/>
          <w:sz w:val="32"/>
          <w:szCs w:val="32"/>
          <w:u w:val="none" w:color="auto"/>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2015年7月</w:t>
      </w:r>
      <w:r>
        <w:rPr>
          <w:rFonts w:hint="eastAsia" w:ascii="仿宋_GB2312" w:hAnsi="仿宋" w:eastAsia="仿宋_GB2312"/>
          <w:color w:val="000000" w:themeColor="text1"/>
          <w14:textFill>
            <w14:solidFill>
              <w14:schemeClr w14:val="tx1"/>
            </w14:solidFill>
          </w14:textFill>
        </w:rPr>
        <w:t>余杭恒力</w:t>
      </w:r>
      <w:r>
        <w:rPr>
          <w:rFonts w:hint="eastAsia" w:ascii="仿宋_GB2312" w:hAnsi="仿宋_GB2312" w:eastAsia="仿宋_GB2312" w:cs="仿宋_GB2312"/>
          <w:color w:val="000000" w:themeColor="text1"/>
          <w:sz w:val="32"/>
          <w:szCs w:val="32"/>
          <w:u w:val="none" w:color="auto"/>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w:t>
      </w:r>
      <w:r>
        <w:rPr>
          <w:rFonts w:hint="eastAsia" w:ascii="仿宋_GB2312" w:hAnsi="Tahoma" w:eastAsia="仿宋_GB2312"/>
          <w:color w:val="000000" w:themeColor="text1"/>
          <w:sz w:val="32"/>
          <w:szCs w:val="32"/>
          <w:u w:val="none" w:color="auto"/>
          <w14:textFill>
            <w14:solidFill>
              <w14:schemeClr w14:val="tx1"/>
            </w14:solidFill>
          </w14:textFill>
        </w:rPr>
        <w:t>杭州瑞鼎建材有限公司</w:t>
      </w:r>
      <w:r>
        <w:rPr>
          <w:rFonts w:hint="eastAsia" w:ascii="仿宋_GB2312" w:hAnsi="Tahoma" w:eastAsia="仿宋_GB2312"/>
          <w:color w:val="000000" w:themeColor="text1"/>
          <w:sz w:val="32"/>
          <w:szCs w:val="32"/>
          <w:u w:val="none" w:color="auto"/>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、杭州瑞鑫混凝土有限公司、杭州建工建材有限公司、杭州华江建材有限公司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w:t>
      </w:r>
      <w:r>
        <w:rPr>
          <w:rFonts w:hint="eastAsia" w:ascii="仿宋_GB2312" w:hAnsi="仿宋_GB2312" w:eastAsia="仿宋_GB2312" w:cs="仿宋_GB2312"/>
          <w:color w:val="000000" w:themeColor="text1"/>
          <w:sz w:val="32"/>
          <w:szCs w:val="32"/>
          <w:u w:val="none" w:color="auto"/>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千岛湖绿城度假酒店</w:t>
      </w:r>
      <w:r>
        <w:rPr>
          <w:rFonts w:hint="eastAsia" w:ascii="仿宋_GB2312" w:hAnsi="仿宋_GB2312" w:eastAsia="仿宋_GB2312" w:cs="仿宋_GB2312"/>
          <w:color w:val="000000" w:themeColor="text1"/>
          <w:sz w:val="32"/>
          <w:szCs w:val="32"/>
          <w:u w:val="none" w:color="auto"/>
          <w14:textFill>
            <w14:solidFill>
              <w14:schemeClr w14:val="tx1"/>
            </w14:solidFill>
          </w14:textFill>
        </w:rPr>
        <w:t>召开所谓“片区”全体会议。在会议上讨论</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通过</w:t>
      </w:r>
      <w:r>
        <w:rPr>
          <w:rFonts w:hint="eastAsia" w:ascii="仿宋_GB2312" w:hAnsi="仿宋_GB2312" w:eastAsia="仿宋_GB2312" w:cs="仿宋_GB2312"/>
          <w:color w:val="000000" w:themeColor="text1"/>
          <w:sz w:val="32"/>
          <w:szCs w:val="32"/>
          <w:u w:val="none" w:color="auto"/>
          <w14:textFill>
            <w14:solidFill>
              <w14:schemeClr w14:val="tx1"/>
            </w14:solidFill>
          </w14:textFill>
        </w:rPr>
        <w:t>由第三方公司以统一价格承接混凝土供应业务后“推荐”至各企业，并由相关企业上缴利润作为共享金，在年底按各企业基数比例分配共享金，同时要求各公司每家交纳50万诚信金用于违约扣罚</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余杭恒力</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因产量限额、违约金缴纳等问题与其它公司</w:t>
      </w:r>
      <w:r>
        <w:rPr>
          <w:rFonts w:hint="eastAsia" w:ascii="仿宋_GB2312" w:hAnsi="仿宋_GB2312" w:eastAsia="仿宋_GB2312" w:cs="仿宋_GB2312"/>
          <w:color w:val="000000" w:themeColor="text1"/>
          <w:sz w:val="32"/>
          <w:szCs w:val="32"/>
          <w:u w:val="none" w:color="auto"/>
          <w14:textFill>
            <w14:solidFill>
              <w14:schemeClr w14:val="tx1"/>
            </w14:solidFill>
          </w14:textFill>
        </w:rPr>
        <w:t>存在矛盾，随</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后</w:t>
      </w:r>
      <w:r>
        <w:rPr>
          <w:rFonts w:hint="eastAsia" w:ascii="仿宋_GB2312" w:hAnsi="仿宋_GB2312" w:eastAsia="仿宋_GB2312" w:cs="仿宋_GB2312"/>
          <w:color w:val="000000" w:themeColor="text1"/>
          <w:sz w:val="32"/>
          <w:szCs w:val="32"/>
          <w:u w:val="none" w:color="auto"/>
          <w14:textFill>
            <w14:solidFill>
              <w14:schemeClr w14:val="tx1"/>
            </w14:solidFill>
          </w14:textFill>
        </w:rPr>
        <w:t>退出协议</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约定</w:t>
      </w:r>
      <w:r>
        <w:rPr>
          <w:rFonts w:hint="eastAsia" w:ascii="仿宋_GB2312" w:hAnsi="仿宋_GB2312" w:eastAsia="仿宋_GB2312" w:cs="仿宋_GB2312"/>
          <w:color w:val="000000" w:themeColor="text1"/>
          <w:sz w:val="32"/>
          <w:szCs w:val="32"/>
          <w:u w:val="none" w:color="auto"/>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宋体" w:hAnsi="宋体" w:eastAsia="仿宋_GB2312" w:cs="宋体"/>
          <w:color w:val="000000" w:themeColor="text1"/>
          <w14:textFill>
            <w14:solidFill>
              <w14:schemeClr w14:val="tx1"/>
            </w14:solidFill>
          </w14:textFill>
        </w:rPr>
      </w:pPr>
      <w:r>
        <w:rPr>
          <w:rFonts w:hint="eastAsia" w:ascii="宋体" w:hAnsi="宋体" w:eastAsia="仿宋_GB2312" w:cs="宋体"/>
          <w:color w:val="000000" w:themeColor="text1"/>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第</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color="auto"/>
          <w14:textFill>
            <w14:solidFill>
              <w14:schemeClr w14:val="tx1"/>
            </w14:solidFill>
          </w14:textFill>
        </w:rPr>
        <w:t>组证据：余杭恒力等</w:t>
      </w: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u w:val="none" w:color="auto"/>
          <w14:textFill>
            <w14:solidFill>
              <w14:schemeClr w14:val="tx1"/>
            </w14:solidFill>
          </w14:textFill>
        </w:rPr>
        <w:t>家混凝土生产企业的营业执照，证明相关混凝土生产企业主体资格及横向竞争关系；</w:t>
      </w:r>
    </w:p>
    <w:p>
      <w:pPr>
        <w:keepNext w:val="0"/>
        <w:keepLines w:val="0"/>
        <w:pageBreakBefore w:val="0"/>
        <w:widowControl/>
        <w:kinsoku/>
        <w:wordWrap/>
        <w:overflowPunct/>
        <w:topLinePunct w:val="0"/>
        <w:autoSpaceDE/>
        <w:autoSpaceDN/>
        <w:bidi w:val="0"/>
        <w:spacing w:line="580" w:lineRule="exact"/>
        <w:ind w:firstLine="640" w:firstLineChars="200"/>
        <w:textAlignment w:val="auto"/>
        <w:rPr>
          <w:rFonts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第</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二组</w:t>
      </w:r>
      <w:r>
        <w:rPr>
          <w:rFonts w:hint="eastAsia" w:ascii="仿宋_GB2312" w:hAnsi="仿宋_GB2312" w:eastAsia="仿宋_GB2312" w:cs="仿宋_GB2312"/>
          <w:color w:val="000000" w:themeColor="text1"/>
          <w:sz w:val="32"/>
          <w:szCs w:val="32"/>
          <w:u w:val="none" w:color="auto"/>
          <w14:textFill>
            <w14:solidFill>
              <w14:schemeClr w14:val="tx1"/>
            </w14:solidFill>
          </w14:textFill>
        </w:rPr>
        <w:t>证据：2015年7月11日千岛湖会议纪要、当事企业现场检查笔录、询问笔录等，证明当事人与其他具有竞争关系的混凝土企业</w:t>
      </w:r>
      <w:r>
        <w:rPr>
          <w:rFonts w:ascii="仿宋_GB2312" w:hAnsi="仿宋_GB2312" w:eastAsia="仿宋_GB2312" w:cs="仿宋_GB2312"/>
          <w:color w:val="000000" w:themeColor="text1"/>
          <w:sz w:val="32"/>
          <w:szCs w:val="32"/>
          <w:u w:val="none" w:color="auto"/>
          <w14:textFill>
            <w14:solidFill>
              <w14:schemeClr w14:val="tx1"/>
            </w14:solidFill>
          </w14:textFill>
        </w:rPr>
        <w:t>协商</w:t>
      </w:r>
      <w:r>
        <w:rPr>
          <w:rFonts w:hint="eastAsia" w:ascii="仿宋_GB2312" w:hAnsi="仿宋_GB2312" w:eastAsia="仿宋_GB2312" w:cs="仿宋_GB2312"/>
          <w:color w:val="000000" w:themeColor="text1"/>
          <w:sz w:val="32"/>
          <w:szCs w:val="32"/>
          <w:u w:val="none" w:color="auto"/>
          <w14:textFill>
            <w14:solidFill>
              <w14:schemeClr w14:val="tx1"/>
            </w14:solidFill>
          </w14:textFill>
        </w:rPr>
        <w:t>分割市场、限制商品生产销售数量、固定商品</w:t>
      </w:r>
      <w:r>
        <w:rPr>
          <w:rFonts w:ascii="仿宋_GB2312" w:hAnsi="仿宋_GB2312" w:eastAsia="仿宋_GB2312" w:cs="仿宋_GB2312"/>
          <w:color w:val="000000" w:themeColor="text1"/>
          <w:sz w:val="32"/>
          <w:szCs w:val="32"/>
          <w:u w:val="none" w:color="auto"/>
          <w14:textFill>
            <w14:solidFill>
              <w14:schemeClr w14:val="tx1"/>
            </w14:solidFill>
          </w14:textFill>
        </w:rPr>
        <w:t>价格的垄断协议</w:t>
      </w:r>
      <w:r>
        <w:rPr>
          <w:rFonts w:hint="eastAsia" w:ascii="仿宋_GB2312" w:hAnsi="仿宋_GB2312" w:eastAsia="仿宋_GB2312" w:cs="仿宋_GB2312"/>
          <w:color w:val="000000" w:themeColor="text1"/>
          <w:sz w:val="32"/>
          <w:szCs w:val="32"/>
          <w:u w:val="none" w:color="auto"/>
          <w14:textFill>
            <w14:solidFill>
              <w14:schemeClr w14:val="tx1"/>
            </w14:solidFill>
          </w14:textFill>
        </w:rPr>
        <w:t>；</w:t>
      </w:r>
    </w:p>
    <w:p>
      <w:pPr>
        <w:keepNext w:val="0"/>
        <w:keepLines w:val="0"/>
        <w:pageBreakBefore w:val="0"/>
        <w:widowControl/>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第</w:t>
      </w:r>
      <w:r>
        <w:rPr>
          <w:rFonts w:hint="eastAsia" w:ascii="仿宋_GB2312" w:hAnsi="仿宋_GB2312" w:eastAsia="仿宋_GB2312" w:cs="仿宋_GB2312"/>
          <w:color w:val="000000" w:themeColor="text1"/>
          <w:sz w:val="32"/>
          <w:szCs w:val="32"/>
          <w:u w:val="none" w:color="auto"/>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u w:val="none" w:color="auto"/>
          <w14:textFill>
            <w14:solidFill>
              <w14:schemeClr w14:val="tx1"/>
            </w14:solidFill>
          </w14:textFill>
        </w:rPr>
        <w:t>组证据：浙江贝利建设集团有限公司等五家混凝土使用企业调查笔录及相关商品混凝土销售协议等，证明2015年至2017年期间相关地区混凝土市场竞争充分，价格及供应稳定，没有出现限制排除竞争的情况。</w:t>
      </w:r>
    </w:p>
    <w:p>
      <w:pPr>
        <w:keepNext w:val="0"/>
        <w:keepLines w:val="0"/>
        <w:pageBreakBefore w:val="0"/>
        <w:widowControl/>
        <w:kinsoku/>
        <w:wordWrap/>
        <w:overflowPunct/>
        <w:topLinePunct w:val="0"/>
        <w:autoSpaceDE/>
        <w:autoSpaceDN/>
        <w:bidi w:val="0"/>
        <w:adjustRightInd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lang w:eastAsia="zh-CN"/>
          <w14:textFill>
            <w14:solidFill>
              <w14:schemeClr w14:val="tx1"/>
            </w14:solidFill>
          </w14:textFill>
        </w:rPr>
      </w:pPr>
      <w:r>
        <w:rPr>
          <w:rFonts w:hint="eastAsia" w:ascii="仿宋_GB2312" w:eastAsia="仿宋_GB2312"/>
          <w:color w:val="000000" w:themeColor="text1"/>
          <w14:textFill>
            <w14:solidFill>
              <w14:schemeClr w14:val="tx1"/>
            </w14:solidFill>
          </w14:textFill>
        </w:rPr>
        <w:t>余杭恒力</w:t>
      </w:r>
      <w:r>
        <w:rPr>
          <w:rFonts w:hint="eastAsia" w:ascii="仿宋_GB2312" w:hAnsi="仿宋" w:eastAsia="仿宋_GB2312"/>
          <w:color w:val="000000" w:themeColor="text1"/>
          <w14:textFill>
            <w14:solidFill>
              <w14:schemeClr w14:val="tx1"/>
            </w14:solidFill>
          </w14:textFill>
        </w:rPr>
        <w:t>的</w:t>
      </w:r>
      <w:r>
        <w:rPr>
          <w:rFonts w:hint="eastAsia" w:ascii="仿宋_GB2312" w:eastAsia="仿宋_GB2312"/>
          <w:color w:val="000000" w:themeColor="text1"/>
          <w:sz w:val="32"/>
          <w:szCs w:val="32"/>
          <w:u w:val="none" w:color="auto"/>
          <w14:textFill>
            <w14:solidFill>
              <w14:schemeClr w14:val="tx1"/>
            </w14:solidFill>
          </w14:textFill>
        </w:rPr>
        <w:t>上述行为违反了《中华人民共和国反垄断法》第十三条“禁止具有竞争关系的经营者达成下列垄断协议：（一）固定或者变更商品价格；（三）分割销售市场或者原材料采购市场；”的规定，属于《反垄断法》第十三条所禁止的达成垄断协议行为。</w:t>
      </w:r>
      <w:r>
        <w:rPr>
          <w:rFonts w:hint="eastAsia" w:ascii="仿宋_GB2312" w:hAnsi="仿宋" w:eastAsia="仿宋_GB2312"/>
          <w:color w:val="000000" w:themeColor="text1"/>
          <w:lang w:eastAsia="zh-CN"/>
          <w14:textFill>
            <w14:solidFill>
              <w14:schemeClr w14:val="tx1"/>
            </w14:solidFill>
          </w14:textFill>
        </w:rPr>
        <w:t>但</w:t>
      </w:r>
      <w:r>
        <w:rPr>
          <w:rFonts w:hint="eastAsia" w:ascii="仿宋_GB2312" w:hAnsi="仿宋" w:eastAsia="仿宋_GB2312" w:cs="Times New Roman"/>
          <w:color w:val="000000" w:themeColor="text1"/>
          <w14:textFill>
            <w14:solidFill>
              <w14:schemeClr w14:val="tx1"/>
            </w14:solidFill>
          </w14:textFill>
        </w:rPr>
        <w:t>考虑到</w:t>
      </w:r>
      <w:r>
        <w:rPr>
          <w:rFonts w:hint="eastAsia" w:ascii="仿宋_GB2312" w:eastAsia="仿宋_GB2312"/>
          <w:color w:val="000000" w:themeColor="text1"/>
          <w14:textFill>
            <w14:solidFill>
              <w14:schemeClr w14:val="tx1"/>
            </w14:solidFill>
          </w14:textFill>
        </w:rPr>
        <w:t>余杭恒力在垄断协议达成</w:t>
      </w:r>
      <w:r>
        <w:rPr>
          <w:rFonts w:hint="eastAsia" w:ascii="仿宋_GB2312" w:eastAsia="仿宋_GB2312"/>
          <w:color w:val="000000" w:themeColor="text1"/>
          <w:lang w:eastAsia="zh-CN"/>
          <w14:textFill>
            <w14:solidFill>
              <w14:schemeClr w14:val="tx1"/>
            </w14:solidFill>
          </w14:textFill>
        </w:rPr>
        <w:t>后主动</w:t>
      </w:r>
      <w:r>
        <w:rPr>
          <w:rFonts w:hint="eastAsia" w:ascii="仿宋_GB2312" w:eastAsia="仿宋_GB2312"/>
          <w:color w:val="000000" w:themeColor="text1"/>
          <w14:textFill>
            <w14:solidFill>
              <w14:schemeClr w14:val="tx1"/>
            </w14:solidFill>
          </w14:textFill>
        </w:rPr>
        <w:t>退出</w:t>
      </w:r>
      <w:r>
        <w:rPr>
          <w:rFonts w:hint="eastAsia" w:ascii="仿宋_GB2312" w:eastAsia="仿宋_GB2312"/>
          <w:color w:val="000000" w:themeColor="text1"/>
          <w:lang w:eastAsia="zh-CN"/>
          <w14:textFill>
            <w14:solidFill>
              <w14:schemeClr w14:val="tx1"/>
            </w14:solidFill>
          </w14:textFill>
        </w:rPr>
        <w:t>，</w:t>
      </w:r>
      <w:r>
        <w:rPr>
          <w:rFonts w:hint="eastAsia" w:ascii="仿宋_GB2312" w:eastAsia="仿宋_GB2312"/>
          <w:color w:val="000000" w:themeColor="text1"/>
          <w14:textFill>
            <w14:solidFill>
              <w14:schemeClr w14:val="tx1"/>
            </w14:solidFill>
          </w14:textFill>
        </w:rPr>
        <w:t>并</w:t>
      </w:r>
      <w:r>
        <w:rPr>
          <w:rFonts w:hint="eastAsia" w:ascii="仿宋_GB2312" w:eastAsia="仿宋_GB2312"/>
          <w:color w:val="000000" w:themeColor="text1"/>
          <w:lang w:eastAsia="zh-CN"/>
          <w14:textFill>
            <w14:solidFill>
              <w14:schemeClr w14:val="tx1"/>
            </w14:solidFill>
          </w14:textFill>
        </w:rPr>
        <w:t>且</w:t>
      </w:r>
      <w:r>
        <w:rPr>
          <w:rFonts w:hint="eastAsia" w:ascii="仿宋_GB2312" w:hAnsi="仿宋" w:eastAsia="仿宋_GB2312" w:cs="Times New Roman"/>
          <w:color w:val="000000" w:themeColor="text1"/>
          <w14:textFill>
            <w14:solidFill>
              <w14:schemeClr w14:val="tx1"/>
            </w14:solidFill>
          </w14:textFill>
        </w:rPr>
        <w:t>在调查过程中能够积极配合，如实陈述相关</w:t>
      </w:r>
      <w:r>
        <w:rPr>
          <w:rFonts w:hint="eastAsia" w:ascii="仿宋_GB2312" w:hAnsi="仿宋" w:eastAsia="仿宋_GB2312" w:cs="Times New Roman"/>
          <w:color w:val="000000" w:themeColor="text1"/>
          <w:lang w:eastAsia="zh-CN"/>
          <w14:textFill>
            <w14:solidFill>
              <w14:schemeClr w14:val="tx1"/>
            </w14:solidFill>
          </w14:textFill>
        </w:rPr>
        <w:t>情况的</w:t>
      </w:r>
      <w:r>
        <w:rPr>
          <w:rFonts w:hint="eastAsia" w:ascii="仿宋_GB2312" w:hAnsi="仿宋" w:eastAsia="仿宋_GB2312" w:cs="Times New Roman"/>
          <w:color w:val="000000" w:themeColor="text1"/>
          <w14:textFill>
            <w14:solidFill>
              <w14:schemeClr w14:val="tx1"/>
            </w14:solidFill>
          </w14:textFill>
        </w:rPr>
        <w:t>事实，</w:t>
      </w:r>
      <w:r>
        <w:rPr>
          <w:rFonts w:hint="eastAsia" w:ascii="仿宋_GB2312" w:hAnsi="仿宋" w:eastAsia="仿宋_GB2312" w:cs="Times New Roman"/>
          <w:color w:val="000000" w:themeColor="text1"/>
          <w:lang w:eastAsia="zh-CN"/>
          <w14:textFill>
            <w14:solidFill>
              <w14:schemeClr w14:val="tx1"/>
            </w14:solidFill>
          </w14:textFill>
        </w:rPr>
        <w:t>依法从轻处理。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14:textFill>
            <w14:solidFill>
              <w14:schemeClr w14:val="tx1"/>
            </w14:solidFill>
          </w14:textFill>
        </w:rPr>
      </w:pPr>
      <w:r>
        <w:rPr>
          <w:rFonts w:hint="eastAsia" w:ascii="仿宋_GB2312" w:hAnsi="仿宋" w:eastAsia="仿宋_GB2312" w:cs="Times New Roman"/>
          <w:color w:val="000000" w:themeColor="text1"/>
          <w:lang w:eastAsia="zh-CN"/>
          <w14:textFill>
            <w14:solidFill>
              <w14:schemeClr w14:val="tx1"/>
            </w14:solidFill>
          </w14:textFill>
        </w:rPr>
        <w:t>根据</w:t>
      </w:r>
      <w:r>
        <w:rPr>
          <w:rFonts w:hint="eastAsia" w:ascii="仿宋_GB2312" w:hAnsi="仿宋" w:eastAsia="仿宋_GB2312" w:cs="Times New Roman"/>
          <w:color w:val="000000" w:themeColor="text1"/>
          <w14:textFill>
            <w14:solidFill>
              <w14:schemeClr w14:val="tx1"/>
            </w14:solidFill>
          </w14:textFill>
        </w:rPr>
        <w:t>《中华人民共和国反垄断法》第四十六条第一款的规定，</w:t>
      </w:r>
      <w:r>
        <w:rPr>
          <w:rFonts w:hint="eastAsia" w:ascii="仿宋_GB2312" w:eastAsia="仿宋_GB2312"/>
          <w:color w:val="000000" w:themeColor="text1"/>
          <w:sz w:val="32"/>
          <w:szCs w:val="32"/>
          <w14:textFill>
            <w14:solidFill>
              <w14:schemeClr w14:val="tx1"/>
            </w14:solidFill>
          </w14:textFill>
        </w:rPr>
        <w:t>对</w:t>
      </w:r>
      <w:r>
        <w:rPr>
          <w:rFonts w:hint="eastAsia" w:ascii="仿宋_GB2312" w:eastAsia="仿宋_GB2312"/>
          <w:color w:val="000000" w:themeColor="text1"/>
          <w14:textFill>
            <w14:solidFill>
              <w14:schemeClr w14:val="tx1"/>
            </w14:solidFill>
          </w14:textFill>
        </w:rPr>
        <w:t>余杭恒力</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w:t>
      </w:r>
      <w:r>
        <w:rPr>
          <w:rFonts w:hint="eastAsia" w:ascii="仿宋_GB2312" w:hAnsi="仿宋" w:eastAsia="仿宋_GB2312" w:cs="Times New Roman"/>
          <w:color w:val="000000" w:themeColor="text1"/>
          <w:lang w:val="en-US" w:eastAsia="zh-CN"/>
          <w14:textFill>
            <w14:solidFill>
              <w14:schemeClr w14:val="tx1"/>
            </w14:solidFill>
          </w14:textFill>
        </w:rPr>
        <w:t>:1、责令停止违法行为；2、</w:t>
      </w:r>
      <w:r>
        <w:rPr>
          <w:rFonts w:hint="eastAsia" w:ascii="仿宋_GB2312" w:hAnsi="仿宋" w:eastAsia="仿宋_GB2312" w:cs="Times New Roman"/>
          <w:color w:val="000000" w:themeColor="text1"/>
          <w14:textFill>
            <w14:solidFill>
              <w14:schemeClr w14:val="tx1"/>
            </w14:solidFill>
          </w14:textFill>
        </w:rPr>
        <w:t>处罚款</w:t>
      </w:r>
      <w:r>
        <w:rPr>
          <w:rFonts w:hint="eastAsia" w:ascii="仿宋_GB2312" w:hAnsi="仿宋" w:eastAsia="仿宋_GB2312" w:cs="Times New Roman"/>
          <w:color w:val="000000" w:themeColor="text1"/>
          <w:lang w:eastAsia="zh-CN"/>
          <w14:textFill>
            <w14:solidFill>
              <w14:schemeClr w14:val="tx1"/>
            </w14:solidFill>
          </w14:textFill>
        </w:rPr>
        <w:t>人民币</w:t>
      </w:r>
      <w:r>
        <w:rPr>
          <w:rFonts w:hint="eastAsia" w:ascii="仿宋_GB2312" w:hAnsi="仿宋" w:eastAsia="仿宋_GB2312" w:cs="Times New Roman"/>
          <w:color w:val="000000" w:themeColor="text1"/>
          <w14:textFill>
            <w14:solidFill>
              <w14:schemeClr w14:val="tx1"/>
            </w14:solidFill>
          </w14:textFill>
        </w:rPr>
        <w:t>十万元。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如不服本处罚规定，可在收到本处罚决定书之日起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根据《企业信息公示暂行条例》等有关规定，本</w:t>
      </w:r>
      <w:r>
        <w:rPr>
          <w:rFonts w:hint="eastAsia" w:ascii="仿宋_GB2312" w:hAnsi="仿宋" w:eastAsia="仿宋_GB2312" w:cs="仿宋"/>
          <w:color w:val="000000" w:themeColor="text1"/>
          <w:sz w:val="32"/>
          <w:szCs w:val="32"/>
          <w:lang w:eastAsia="zh-CN"/>
          <w14:textFill>
            <w14:solidFill>
              <w14:schemeClr w14:val="tx1"/>
            </w14:solidFill>
          </w14:textFill>
        </w:rPr>
        <w:t>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4800" w:firstLineChars="1500"/>
        <w:textAlignment w:val="auto"/>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default" w:ascii="仿宋_GB2312" w:hAnsi="仿宋" w:eastAsia="仿宋_GB2312" w:cs="Times New Roman"/>
          <w:color w:val="000000" w:themeColor="text1"/>
          <w:kern w:val="0"/>
          <w:lang w:val="en-US" w:eastAsia="zh-CN"/>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 xml:space="preserve">  2019年12月23日</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6221B"/>
    <w:rsid w:val="000D1742"/>
    <w:rsid w:val="00120212"/>
    <w:rsid w:val="00153F62"/>
    <w:rsid w:val="00167B0B"/>
    <w:rsid w:val="001B29AD"/>
    <w:rsid w:val="001C2CF2"/>
    <w:rsid w:val="001D09A3"/>
    <w:rsid w:val="00207DCA"/>
    <w:rsid w:val="00275F3A"/>
    <w:rsid w:val="00304C77"/>
    <w:rsid w:val="00416FAB"/>
    <w:rsid w:val="005849AC"/>
    <w:rsid w:val="005D523B"/>
    <w:rsid w:val="007036FB"/>
    <w:rsid w:val="00791B21"/>
    <w:rsid w:val="00801047"/>
    <w:rsid w:val="00854174"/>
    <w:rsid w:val="008941B5"/>
    <w:rsid w:val="008D2A63"/>
    <w:rsid w:val="00967067"/>
    <w:rsid w:val="00A4475A"/>
    <w:rsid w:val="00A53B7A"/>
    <w:rsid w:val="00A77A24"/>
    <w:rsid w:val="00B36444"/>
    <w:rsid w:val="00BE5364"/>
    <w:rsid w:val="00C42F5E"/>
    <w:rsid w:val="00C83D12"/>
    <w:rsid w:val="00CF2E18"/>
    <w:rsid w:val="00DB1484"/>
    <w:rsid w:val="00F24635"/>
    <w:rsid w:val="00F41A18"/>
    <w:rsid w:val="04C83AB8"/>
    <w:rsid w:val="0CFE2737"/>
    <w:rsid w:val="0D3064E5"/>
    <w:rsid w:val="102F42CE"/>
    <w:rsid w:val="2D4D7604"/>
    <w:rsid w:val="2E7D2573"/>
    <w:rsid w:val="301C2AF5"/>
    <w:rsid w:val="30F12700"/>
    <w:rsid w:val="44414139"/>
    <w:rsid w:val="481A18C8"/>
    <w:rsid w:val="56FA3C42"/>
    <w:rsid w:val="67EB6EED"/>
    <w:rsid w:val="76A37585"/>
    <w:rsid w:val="76EE66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4</Pages>
  <Words>296</Words>
  <Characters>1689</Characters>
  <Lines>14</Lines>
  <Paragraphs>3</Paragraphs>
  <TotalTime>0</TotalTime>
  <ScaleCrop>false</ScaleCrop>
  <LinksUpToDate>false</LinksUpToDate>
  <CharactersWithSpaces>1982</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