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当事人：宁夏杨天二手车交易市场有限公司</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w:t>
      </w:r>
      <w:r>
        <w:rPr>
          <w:rFonts w:hint="eastAsia" w:ascii="仿宋_GB2312" w:hAnsi="仿宋_GB2312" w:eastAsia="仿宋_GB2312" w:cs="仿宋_GB2312"/>
          <w:b w:val="0"/>
          <w:bCs w:val="0"/>
          <w:sz w:val="32"/>
          <w:szCs w:val="32"/>
          <w:lang w:val="en-US" w:eastAsia="zh-CN"/>
        </w:rPr>
        <w:t>21799913379N</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型：有限责任公司（自然人投资或控股）</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所：平罗县城关镇老户村新</w:t>
      </w:r>
      <w:r>
        <w:rPr>
          <w:rFonts w:hint="eastAsia" w:ascii="仿宋_GB2312" w:hAnsi="仿宋_GB2312" w:eastAsia="仿宋_GB2312" w:cs="仿宋_GB2312"/>
          <w:b w:val="0"/>
          <w:bCs w:val="0"/>
          <w:sz w:val="32"/>
          <w:szCs w:val="32"/>
          <w:lang w:val="en-US" w:eastAsia="zh-CN"/>
        </w:rPr>
        <w:t>109国道东侧</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杨风贵</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eastAsia="仿宋_GB2312" w:cs="仿宋_GB2312"/>
          <w:b w:val="0"/>
          <w:bCs w:val="0"/>
          <w:sz w:val="32"/>
          <w:szCs w:val="32"/>
          <w:lang w:val="en-US" w:eastAsia="zh-CN"/>
        </w:rPr>
        <w:t>100万元</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成立日期：2007年6月4日</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二手车交易</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二手车交易市场经营管理服务</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二手车经销中介服务等</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（以下简称杨天公司）、石嘴山市</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旧机动车交易服务有限公司（以下简称</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石嘴山市安驰二手车交易有限公司</w:t>
      </w:r>
      <w:r>
        <w:rPr>
          <w:rFonts w:hint="eastAsia" w:ascii="仿宋_GB2312" w:hAnsi="仿宋_GB2312" w:eastAsia="仿宋_GB2312" w:cs="仿宋_GB2312"/>
          <w:b w:val="0"/>
          <w:bCs w:val="0"/>
          <w:sz w:val="32"/>
          <w:szCs w:val="32"/>
          <w:lang w:eastAsia="zh-CN"/>
        </w:rPr>
        <w:t>（以下简称</w:t>
      </w:r>
      <w:r>
        <w:rPr>
          <w:rFonts w:hint="eastAsia" w:ascii="仿宋_GB2312" w:hAnsi="仿宋_GB2312" w:cs="仿宋_GB2312"/>
          <w:b w:val="0"/>
          <w:bCs w:val="0"/>
          <w:sz w:val="32"/>
          <w:szCs w:val="32"/>
          <w:lang w:eastAsia="zh-CN"/>
        </w:rPr>
        <w:t>安驰公司</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cs="仿宋_GB2312"/>
          <w:b w:val="0"/>
          <w:bCs w:val="0"/>
          <w:sz w:val="32"/>
          <w:szCs w:val="32"/>
          <w:lang w:val="en-US" w:eastAsia="zh-CN"/>
        </w:rPr>
        <w:t>杨天公司</w:t>
      </w:r>
      <w:r>
        <w:rPr>
          <w:rFonts w:hint="eastAsia" w:ascii="仿宋_GB2312" w:hAnsi="仿宋_GB2312" w:eastAsia="仿宋_GB2312" w:cs="仿宋_GB2312"/>
          <w:b w:val="0"/>
          <w:bCs w:val="0"/>
          <w:sz w:val="32"/>
          <w:szCs w:val="32"/>
          <w:lang w:val="en-US" w:eastAsia="zh-CN"/>
        </w:rPr>
        <w:t>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杨天公司在法定工作日内，未提出陈述、申辩意见，未要求举行听证。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cs="仿宋_GB2312"/>
          <w:b w:val="0"/>
          <w:bCs w:val="0"/>
          <w:sz w:val="32"/>
          <w:szCs w:val="32"/>
          <w:lang w:eastAsia="zh-CN"/>
        </w:rPr>
        <w:t>杨天公司与元增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公司、路顺公司、银通公司、金运公司、宁成源公司、顺运公司、云磊市场、金通公司、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val="0"/>
          <w:sz w:val="32"/>
          <w:szCs w:val="32"/>
          <w:lang w:val="en-US" w:eastAsia="zh-CN"/>
        </w:rPr>
        <w:t>杨天公司</w:t>
      </w:r>
      <w:r>
        <w:rPr>
          <w:rFonts w:hint="eastAsia" w:ascii="仿宋_GB2312" w:hAnsi="仿宋_GB2312" w:cs="仿宋_GB2312"/>
          <w:b w:val="0"/>
          <w:bCs/>
          <w:lang w:val="en-US" w:eastAsia="zh-CN"/>
        </w:rPr>
        <w:t>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sz w:val="32"/>
          <w:szCs w:val="32"/>
          <w:lang w:val="en-US" w:eastAsia="zh-CN"/>
        </w:rPr>
        <w:t>杨天公司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numPr>
          <w:ilvl w:val="0"/>
          <w:numId w:val="1"/>
        </w:numPr>
        <w:kinsoku/>
        <w:wordWrap/>
        <w:overflowPunct/>
        <w:topLinePunct w:val="0"/>
        <w:autoSpaceDE/>
        <w:autoSpaceDN/>
        <w:bidi w:val="0"/>
        <w:adjustRightInd w:val="0"/>
        <w:snapToGrid/>
        <w:spacing w:line="580" w:lineRule="exact"/>
        <w:ind w:firstLine="640"/>
        <w:jc w:val="both"/>
        <w:textAlignment w:val="baseline"/>
        <w:rPr>
          <w:rFonts w:hint="eastAsia"/>
          <w:b/>
          <w:bCs/>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杨天公司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val="en-US" w:eastAsia="zh-CN"/>
        </w:rPr>
        <w:t>杨天公司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公司、路顺公司、银通公司、金运公司、宁成源公司、顺运公司、云磊市场、金通公司</w:t>
      </w:r>
      <w:r>
        <w:rPr>
          <w:rFonts w:hint="eastAsia" w:ascii="仿宋_GB2312" w:hAnsi="仿宋_GB2312" w:eastAsia="仿宋_GB2312" w:cs="仿宋_GB2312"/>
          <w:b w:val="0"/>
          <w:bCs w:val="0"/>
          <w:sz w:val="32"/>
          <w:szCs w:val="32"/>
          <w:lang w:val="en-US" w:eastAsia="zh-CN"/>
        </w:rPr>
        <w:t>在石嘴山市二手车流通行业协会（以下简称</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行业协会</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val="en-US" w:eastAsia="zh-CN"/>
        </w:rPr>
        <w:t>杨天公司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要求在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val="en-US" w:eastAsia="zh-CN"/>
        </w:rPr>
        <w:t>杨天公司等11家二手车交易市场经营者联合经营期间，按照固定的标准收取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cs="仿宋_GB2312"/>
          <w:b w:val="0"/>
          <w:bCs w:val="0"/>
          <w:sz w:val="32"/>
          <w:szCs w:val="32"/>
          <w:lang w:val="en-US" w:eastAsia="zh-CN"/>
        </w:rPr>
        <w:t>杨天公司等11家二手车交易市场经营者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方面意见：一是实行政府指导价期间的交易服务价格未超过规定比率，不构成垄断协议；二是评估服务费包括评估、照相拓印、提供合同书等内容，收费标准定为20元较为合理</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本机关认为，当事人提出的上述意见不能成立。主要理由是：</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1.关于交易服务价格未超过规定比率问题。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本案中，2009年9月—2016年1月交易服务收费执行政府指导价，规定收费标准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按成交价的0.5%—1%与卖方协商确定。当事人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与其他经营者联合经营期间，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比率虽然未超出政府指导价范围，但依然构成固定价格垄断协议。一是改变收费基数。收费标准为“评估价*1%”，将“成交价”改变为“评估价”，违反了政府指导价规定的计算标准；二是固定收费比率。收费比率为政府指导价上限1%，并规定了100元的最低收费，未体现政府指导价规定的“与卖方协商确定”的原则；三是无自主定价权。在正常市场竞争状态下，经营者在政府指导价范围内，应当自主选择交易服务收费价格，但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经营者无自主定价权利。</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2.关于评估服务费认定问题。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收费标准是否合理不是垄断协议行为考虑因素和构成要件，本案中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当事人与其他二手车交易市场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经营者商定收取20元评估服务费构成固定商品价格垄断协议行为。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杨天公司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经营者联合经营期间主要收入来源是</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协会组织分配</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指定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包括杨天公司在内的二手车交易市场经营者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确认了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经营者达成并实施固定商品价格、销售市场划分的事实，并对2018年度销售额、违法所得予以认可。</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具有配合调查、及时改正的从轻情节，依据《市场监管总局关于规范市场监督管理行政处罚裁量权的指导意见》等规定，对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杨天公司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帐号：29105001040002455</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kinsoku/>
        <w:wordWrap/>
        <w:overflowPunct/>
        <w:topLinePunct w:val="0"/>
        <w:autoSpaceDE/>
        <w:autoSpaceDN/>
        <w:bidi w:val="0"/>
        <w:snapToGrid/>
        <w:spacing w:before="0" w:after="0" w:line="580" w:lineRule="exac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C8D1FE"/>
    <w:multiLevelType w:val="singleLevel"/>
    <w:tmpl w:val="9BC8D1F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03BCF"/>
    <w:rsid w:val="06E912AB"/>
    <w:rsid w:val="129D622A"/>
    <w:rsid w:val="148B2A62"/>
    <w:rsid w:val="1DF23B6E"/>
    <w:rsid w:val="1E787396"/>
    <w:rsid w:val="209F0D87"/>
    <w:rsid w:val="227B75A1"/>
    <w:rsid w:val="231340F7"/>
    <w:rsid w:val="297527EF"/>
    <w:rsid w:val="3A53327B"/>
    <w:rsid w:val="441F5835"/>
    <w:rsid w:val="44403BCF"/>
    <w:rsid w:val="4D5E4B5E"/>
    <w:rsid w:val="7E656A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2020-09-23T00:46:00Z</dcterms:created>
  <dc:creator>409</dc:creator>
  <cp:lastModifiedBy>409</cp:lastModifiedBy>
  <cp:lastPrinted>2020-09-27T02:52:00Z</cp:lastPrinted>
  <dcterms:modified xsi:type="dcterms:W3CDTF">2020-10-14T07:45:32Z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