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eastAsia="方正小标宋简体" w:cs="Times New Roman"/>
          <w:bCs/>
          <w:color w:val="000000" w:themeColor="text1"/>
          <w:sz w:val="44"/>
          <w:szCs w:val="44"/>
          <w14:textFill>
            <w14:solidFill>
              <w14:schemeClr w14:val="tx1"/>
            </w14:solidFill>
          </w14:textFill>
        </w:rPr>
      </w:pPr>
      <w:r>
        <w:rPr>
          <w:rFonts w:eastAsia="方正小标宋简体" w:cs="Times New Roman"/>
          <w:bCs/>
          <w:color w:val="000000" w:themeColor="text1"/>
          <w:sz w:val="44"/>
          <w:szCs w:val="44"/>
          <w14:textFill>
            <w14:solidFill>
              <w14:schemeClr w14:val="tx1"/>
            </w14:solidFill>
          </w14:textFill>
        </w:rPr>
        <w:t>四川省市场监督管理局</w:t>
      </w:r>
    </w:p>
    <w:p>
      <w:pPr>
        <w:spacing w:line="600" w:lineRule="exact"/>
        <w:jc w:val="center"/>
        <w:rPr>
          <w:rFonts w:eastAsia="方正小标宋简体" w:cs="Times New Roman"/>
          <w:bCs/>
          <w:color w:val="000000" w:themeColor="text1"/>
          <w:sz w:val="44"/>
          <w:szCs w:val="44"/>
          <w14:textFill>
            <w14:solidFill>
              <w14:schemeClr w14:val="tx1"/>
            </w14:solidFill>
          </w14:textFill>
        </w:rPr>
      </w:pPr>
      <w:r>
        <w:rPr>
          <w:rFonts w:eastAsia="方正小标宋简体" w:cs="Times New Roman"/>
          <w:bCs/>
          <w:color w:val="000000" w:themeColor="text1"/>
          <w:sz w:val="44"/>
          <w:szCs w:val="44"/>
          <w14:textFill>
            <w14:solidFill>
              <w14:schemeClr w14:val="tx1"/>
            </w14:solidFill>
          </w14:textFill>
        </w:rPr>
        <w:t>行政处罚决定书</w:t>
      </w:r>
    </w:p>
    <w:p>
      <w:pPr>
        <w:pStyle w:val="2"/>
        <w:keepNext w:val="0"/>
        <w:tabs>
          <w:tab w:val="left" w:pos="420"/>
          <w:tab w:val="clear" w:pos="0"/>
        </w:tabs>
        <w:spacing w:before="156" w:after="0" w:line="600" w:lineRule="exact"/>
        <w:jc w:val="center"/>
        <w:rPr>
          <w:rFonts w:eastAsia="方正仿宋简体" w:cs="Times New Roman"/>
          <w:color w:val="000000" w:themeColor="text1"/>
          <w:sz w:val="32"/>
          <w:szCs w:val="32"/>
          <w14:textFill>
            <w14:solidFill>
              <w14:schemeClr w14:val="tx1"/>
            </w14:solidFill>
          </w14:textFill>
        </w:rPr>
      </w:pPr>
      <w:r>
        <w:rPr>
          <w:rFonts w:eastAsia="方正仿宋简体" w:cs="Times New Roman"/>
          <w:color w:val="000000" w:themeColor="text1"/>
          <w:sz w:val="32"/>
          <w:szCs w:val="32"/>
          <w14:textFill>
            <w14:solidFill>
              <w14:schemeClr w14:val="tx1"/>
            </w14:solidFill>
          </w14:textFill>
        </w:rPr>
        <w:t>川</w:t>
      </w:r>
      <w:r>
        <w:rPr>
          <w:rFonts w:eastAsia="方正仿宋简体" w:cs="Times New Roman"/>
          <w:color w:val="000000" w:themeColor="text1"/>
          <w:kern w:val="0"/>
          <w:sz w:val="32"/>
          <w:szCs w:val="32"/>
          <w14:textFill>
            <w14:solidFill>
              <w14:schemeClr w14:val="tx1"/>
            </w14:solidFill>
          </w14:textFill>
        </w:rPr>
        <w:t>市监处〔2020〕26号</w:t>
      </w:r>
    </w:p>
    <w:p>
      <w:pPr>
        <w:shd w:val="clear" w:color="auto" w:fill="FFFFFF"/>
        <w:spacing w:line="600" w:lineRule="exact"/>
        <w:ind w:left="150" w:right="150"/>
        <w:rPr>
          <w:rFonts w:eastAsia="微软雅黑" w:cs="Times New Roman"/>
          <w:color w:val="333333"/>
          <w:kern w:val="0"/>
          <w:sz w:val="30"/>
          <w:szCs w:val="30"/>
        </w:rPr>
      </w:pPr>
    </w:p>
    <w:p>
      <w:pPr>
        <w:ind w:firstLine="640" w:firstLineChars="200"/>
        <w:rPr>
          <w:rFonts w:eastAsia="方正黑体简体" w:cs="Times New Roman"/>
          <w:bCs/>
          <w:color w:val="000000" w:themeColor="text1"/>
          <w:szCs w:val="32"/>
          <w14:textFill>
            <w14:solidFill>
              <w14:schemeClr w14:val="tx1"/>
            </w14:solidFill>
          </w14:textFill>
        </w:rPr>
      </w:pPr>
      <w:r>
        <w:rPr>
          <w:rFonts w:eastAsia="方正黑体简体" w:cs="Times New Roman"/>
          <w:bCs/>
          <w:color w:val="000000" w:themeColor="text1"/>
          <w:szCs w:val="32"/>
          <w14:textFill>
            <w14:solidFill>
              <w14:schemeClr w14:val="tx1"/>
            </w14:solidFill>
          </w14:textFill>
        </w:rPr>
        <w:t>一、当事人情况</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当事人：四川峨胜水泥集团股份有限公司</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统一社会信用代码：91511100207451765J</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类型：股份有限公司（非上市、自然人投资或控股）</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住所：峨眉山市绥山镇名山路东段</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法定代表人：熊建华</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 xml:space="preserve">经营范围：水泥及其制品的生产、销售；石灰岩开采（限分支机构）、销售；火力发电（限分支机构）；技术推广服务及咨询（依法须经批准的项目，经相关部门批准后方可开展经营活动）。 </w:t>
      </w:r>
    </w:p>
    <w:p>
      <w:pPr>
        <w:ind w:firstLine="640" w:firstLineChars="200"/>
        <w:rPr>
          <w:rFonts w:eastAsia="方正黑体简体" w:cs="Times New Roman"/>
          <w:bCs/>
          <w:color w:val="000000" w:themeColor="text1"/>
          <w:szCs w:val="32"/>
          <w14:textFill>
            <w14:solidFill>
              <w14:schemeClr w14:val="tx1"/>
            </w14:solidFill>
          </w14:textFill>
        </w:rPr>
      </w:pPr>
      <w:r>
        <w:rPr>
          <w:rFonts w:eastAsia="方正黑体简体" w:cs="Times New Roman"/>
          <w:bCs/>
          <w:color w:val="000000" w:themeColor="text1"/>
          <w:szCs w:val="32"/>
          <w14:textFill>
            <w14:solidFill>
              <w14:schemeClr w14:val="tx1"/>
            </w14:solidFill>
          </w14:textFill>
        </w:rPr>
        <w:t>二、案件来源及调查经过</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本机关现查明当事人与其他五家具有竞争关系的水泥经营者在四川省水泥协会的组织和推动下，达成并实施了垄断协议，于2020年12月21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ind w:firstLine="640" w:firstLineChars="200"/>
        <w:rPr>
          <w:rFonts w:eastAsia="方正黑体简体" w:cs="Times New Roman"/>
          <w:bCs/>
          <w:color w:val="000000" w:themeColor="text1"/>
          <w:szCs w:val="32"/>
          <w14:textFill>
            <w14:solidFill>
              <w14:schemeClr w14:val="tx1"/>
            </w14:solidFill>
          </w14:textFill>
        </w:rPr>
      </w:pPr>
      <w:r>
        <w:rPr>
          <w:rFonts w:eastAsia="方正黑体简体" w:cs="Times New Roman"/>
          <w:bCs/>
          <w:color w:val="000000" w:themeColor="text1"/>
          <w:szCs w:val="32"/>
          <w14:textFill>
            <w14:solidFill>
              <w14:schemeClr w14:val="tx1"/>
            </w14:solidFill>
          </w14:textFill>
        </w:rPr>
        <w:t>三、违法事实及相关证据</w:t>
      </w:r>
    </w:p>
    <w:p>
      <w:pPr>
        <w:ind w:firstLine="640" w:firstLineChars="200"/>
        <w:rPr>
          <w:rFonts w:eastAsia="方正楷体简体" w:cs="Times New Roman"/>
          <w:b/>
          <w:bCs/>
          <w:color w:val="000000" w:themeColor="text1"/>
          <w:kern w:val="0"/>
          <w:szCs w:val="32"/>
          <w14:textFill>
            <w14:solidFill>
              <w14:schemeClr w14:val="tx1"/>
            </w14:solidFill>
          </w14:textFill>
        </w:rPr>
      </w:pPr>
      <w:r>
        <w:rPr>
          <w:rFonts w:eastAsia="方正楷体简体" w:cs="Times New Roman"/>
          <w:b/>
          <w:bCs/>
          <w:color w:val="000000" w:themeColor="text1"/>
          <w:kern w:val="0"/>
          <w:szCs w:val="32"/>
          <w14:textFill>
            <w14:solidFill>
              <w14:schemeClr w14:val="tx1"/>
            </w14:solidFill>
          </w14:textFill>
        </w:rPr>
        <w:t>（一）当事人在四川省水泥协会组织下与具有竞争关系的经营者达成“固定或者变更商品价格”的垄断协议</w:t>
      </w:r>
    </w:p>
    <w:p>
      <w:pPr>
        <w:pStyle w:val="9"/>
        <w:widowControl w:val="0"/>
        <w:ind w:firstLine="640" w:firstLineChars="200"/>
        <w:rPr>
          <w:rFonts w:eastAsia="方正仿宋简体" w:cs="Times New Roman"/>
          <w:color w:val="000000" w:themeColor="text1"/>
          <w:szCs w:val="32"/>
          <w14:textFill>
            <w14:solidFill>
              <w14:schemeClr w14:val="tx1"/>
            </w14:solidFill>
          </w14:textFill>
        </w:rPr>
      </w:pPr>
      <w:r>
        <w:rPr>
          <w:rFonts w:eastAsia="方正仿宋简体" w:cs="Times New Roman"/>
          <w:color w:val="000000" w:themeColor="text1"/>
          <w:szCs w:val="32"/>
          <w14:textFill>
            <w14:solidFill>
              <w14:schemeClr w14:val="tx1"/>
            </w14:solidFill>
          </w14:textFill>
        </w:rPr>
        <w:t>现查明，当事人和其他涉案五家水泥经营者：四川西南水泥有限公司、四川亚东水泥有限公司、四川双马水泥股份有限公司、四川省星船城水泥股份有限公司及四川峨眉山佛光水泥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pStyle w:val="2"/>
        <w:keepNext w:val="0"/>
        <w:spacing w:before="0" w:after="0"/>
        <w:ind w:firstLine="640" w:firstLineChars="200"/>
        <w:jc w:val="both"/>
        <w:rPr>
          <w:rFonts w:eastAsia="方正仿宋简体" w:cs="Times New Roman"/>
          <w:color w:val="000000" w:themeColor="text1"/>
          <w:sz w:val="32"/>
          <w:szCs w:val="32"/>
          <w14:textFill>
            <w14:solidFill>
              <w14:schemeClr w14:val="tx1"/>
            </w14:solidFill>
          </w14:textFill>
        </w:rPr>
      </w:pPr>
      <w:r>
        <w:rPr>
          <w:rFonts w:eastAsia="方正仿宋简体" w:cs="Times New Roman"/>
          <w:color w:val="000000" w:themeColor="text1"/>
          <w:sz w:val="32"/>
          <w:szCs w:val="32"/>
          <w14:textFill>
            <w14:solidFill>
              <w14:schemeClr w14:val="tx1"/>
            </w14:solidFill>
          </w14:textFill>
        </w:rPr>
        <w:t>2016年10月11日，四川省水泥协会组织六家经营者“四川西南、峨胜、亚东（兰丰）、四川双马、星船城、佛光”在成都市召开“十月份复价减亏工作推进会”，</w:t>
      </w:r>
      <w:r>
        <w:rPr>
          <w:rFonts w:eastAsia="方正仿宋简体" w:cs="Times New Roman"/>
          <w:color w:val="auto"/>
          <w:sz w:val="32"/>
          <w:szCs w:val="32"/>
        </w:rPr>
        <w:t>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w:t>
      </w:r>
      <w:r>
        <w:rPr>
          <w:rFonts w:eastAsia="方正仿宋简体" w:cs="Times New Roman"/>
          <w:color w:val="000000" w:themeColor="text1"/>
          <w:sz w:val="32"/>
          <w:szCs w:val="32"/>
          <w14:textFill>
            <w14:solidFill>
              <w14:schemeClr w14:val="tx1"/>
            </w14:solidFill>
          </w14:textFill>
        </w:rPr>
        <w:t>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ind w:firstLine="640" w:firstLineChars="200"/>
        <w:rPr>
          <w:rFonts w:eastAsia="方正楷体简体" w:cs="Times New Roman"/>
          <w:b/>
          <w:bCs/>
          <w:color w:val="000000" w:themeColor="text1"/>
          <w:kern w:val="0"/>
          <w:szCs w:val="32"/>
          <w14:textFill>
            <w14:solidFill>
              <w14:schemeClr w14:val="tx1"/>
            </w14:solidFill>
          </w14:textFill>
        </w:rPr>
      </w:pPr>
      <w:r>
        <w:rPr>
          <w:rFonts w:eastAsia="方正楷体简体" w:cs="Times New Roman"/>
          <w:b/>
          <w:bCs/>
          <w:color w:val="000000" w:themeColor="text1"/>
          <w:kern w:val="0"/>
          <w:szCs w:val="32"/>
          <w14:textFill>
            <w14:solidFill>
              <w14:schemeClr w14:val="tx1"/>
            </w14:solidFill>
          </w14:textFill>
        </w:rPr>
        <w:t>（二）当事人实施了上述垄断协议</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垄断协议订立后，四川省水泥协会即组织六家涉案经营者着手实施，第一步，</w:t>
      </w:r>
      <w:r>
        <w:rPr>
          <w:rFonts w:cs="Times New Roman"/>
          <w:szCs w:val="32"/>
        </w:rPr>
        <w:t>当事人于2016年10月13日向客户发出《四川峨胜水泥集团股份有限公司营销中心关于水泥调价的函》（营销中心</w:t>
      </w:r>
      <w:r>
        <w:rPr>
          <w:rFonts w:eastAsia="宋体" w:cs="Times New Roman"/>
          <w:szCs w:val="32"/>
        </w:rPr>
        <w:t>﹝</w:t>
      </w:r>
      <w:r>
        <w:rPr>
          <w:rFonts w:cs="Times New Roman"/>
          <w:szCs w:val="32"/>
        </w:rPr>
        <w:t>2016</w:t>
      </w:r>
      <w:r>
        <w:rPr>
          <w:rFonts w:eastAsia="宋体" w:cs="Times New Roman"/>
          <w:szCs w:val="32"/>
        </w:rPr>
        <w:t>﹞</w:t>
      </w:r>
      <w:r>
        <w:rPr>
          <w:rFonts w:cs="Times New Roman"/>
          <w:szCs w:val="32"/>
        </w:rPr>
        <w:t>96号），告知客户将于2016年10月17日8:00起，对所有的散装水泥出厂价在原基础上每吨上调伍拾元整（50元/吨）；</w:t>
      </w:r>
      <w:r>
        <w:rPr>
          <w:rFonts w:cs="Times New Roman"/>
          <w:color w:val="000000" w:themeColor="text1"/>
          <w:szCs w:val="32"/>
          <w14:textFill>
            <w14:solidFill>
              <w14:schemeClr w14:val="tx1"/>
            </w14:solidFill>
          </w14:textFill>
        </w:rPr>
        <w:t>第二步，按照垄断协议的约定，包括当事人在内的六家水泥经营者自10月17日起，陆续对各自下游客户实际上调散装水泥价格50元/吨。</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2016年10月19日，四川省水泥协会在绵阳举行2016年十月份水泥企业座谈会议,会上总结了10月17日散装水泥涨价的实施成果并形成了巩固涨价相关措施的会议决议。</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上述事实，主要有以下证据证明：</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证据组三：当事人及其他五家涉案水泥企业向客户发出的调价文件复印件、当事人工作人员的询问笔录、《四川省水泥协会2016年十月份水泥企业座谈会议纪要》，证明包括当事人在内的六家水泥经营者在四川省水泥协会组织下变更商品价格、实施垄断协议的事实。</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证据组五：《四川省水泥协会2017年年会暨三届三次理事会议纪要》，证明协会制定含有排除、限制竞争内容的规则的事实。</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证据组六：四川峨胜水泥集团股份有限公司《2016年度成都区域客户散装水泥销售额及2016年10月17日起散装水泥每吨上调50元销售单价增加销售额专项审计报告》（川设信会审（2020）9-2号），证明当事人实施垄断协议的事实，及2016年度相关销售财务数据。</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以上有关证据，已由当事人或相关责任人签字或盖章确认并查证属实。</w:t>
      </w:r>
    </w:p>
    <w:p>
      <w:pPr>
        <w:ind w:firstLine="640" w:firstLineChars="200"/>
        <w:rPr>
          <w:rFonts w:eastAsia="方正黑体简体" w:cs="Times New Roman"/>
          <w:bCs/>
          <w:color w:val="000000" w:themeColor="text1"/>
          <w:szCs w:val="32"/>
          <w14:textFill>
            <w14:solidFill>
              <w14:schemeClr w14:val="tx1"/>
            </w14:solidFill>
          </w14:textFill>
        </w:rPr>
      </w:pPr>
      <w:r>
        <w:rPr>
          <w:rFonts w:eastAsia="方正黑体简体" w:cs="Times New Roman"/>
          <w:bCs/>
          <w:color w:val="000000" w:themeColor="text1"/>
          <w:szCs w:val="32"/>
          <w14:textFill>
            <w14:solidFill>
              <w14:schemeClr w14:val="tx1"/>
            </w14:solidFill>
          </w14:textFill>
        </w:rPr>
        <w:t>四、行政处罚依据及决定</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本机关认定，当事人与其他五家具有竞争关系的水泥经营者在四川省水泥协会的组织和推动下，对散装水泥产品涨价时间及幅度协商一致，统一上调散装水泥销售价格，该行为违反《中华人民共和国反垄断法》（以下简称《反垄断法》）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如下行政处罚：</w:t>
      </w:r>
    </w:p>
    <w:p>
      <w:pPr>
        <w:ind w:firstLine="640" w:firstLineChars="200"/>
        <w:rPr>
          <w:rFonts w:cs="Times New Roman"/>
          <w:color w:val="000000" w:themeColor="text1"/>
          <w:szCs w:val="32"/>
          <w14:textFill>
            <w14:solidFill>
              <w14:schemeClr w14:val="tx1"/>
            </w14:solidFill>
          </w14:textFill>
        </w:rPr>
      </w:pPr>
      <w:r>
        <w:rPr>
          <w:rFonts w:cs="Times New Roman"/>
          <w:color w:val="000000" w:themeColor="text1"/>
          <w:szCs w:val="32"/>
          <w14:textFill>
            <w14:solidFill>
              <w14:schemeClr w14:val="tx1"/>
            </w14:solidFill>
          </w14:textFill>
        </w:rPr>
        <w:t>没收违法所得3186141元，并处2016年度销售额2%的罚款11680598元，以上罚没款共计14866739元（大写：人民币壹仟肆佰捌拾陆万陆仟柒佰叁拾玖元）。</w:t>
      </w:r>
    </w:p>
    <w:p>
      <w:pPr>
        <w:pStyle w:val="9"/>
        <w:widowControl w:val="0"/>
        <w:ind w:firstLine="640" w:firstLineChars="200"/>
        <w:rPr>
          <w:rFonts w:eastAsia="方正仿宋简体" w:cs="Times New Roman"/>
          <w:color w:val="000000" w:themeColor="text1"/>
          <w:szCs w:val="32"/>
          <w14:textFill>
            <w14:solidFill>
              <w14:schemeClr w14:val="tx1"/>
            </w14:solidFill>
          </w14:textFill>
        </w:rPr>
      </w:pPr>
      <w:r>
        <w:rPr>
          <w:rFonts w:eastAsia="方正仿宋简体" w:cs="Times New Roman"/>
          <w:color w:val="000000" w:themeColor="text1"/>
          <w:szCs w:val="32"/>
          <w14:textFill>
            <w14:solidFill>
              <w14:schemeClr w14:val="tx1"/>
            </w14:solidFill>
          </w14:textFill>
        </w:rPr>
        <w:t>当事人应当自收到本行政处罚决定书之日起十五日内，将罚没款缴至下述</w:t>
      </w:r>
      <w:bookmarkStart w:id="0" w:name="_GoBack"/>
      <w:bookmarkEnd w:id="0"/>
      <w:r>
        <w:rPr>
          <w:rFonts w:eastAsia="方正仿宋简体" w:cs="Times New Roman"/>
          <w:color w:val="000000" w:themeColor="text1"/>
          <w:szCs w:val="32"/>
          <w14:textFill>
            <w14:solidFill>
              <w14:schemeClr w14:val="tx1"/>
            </w14:solidFill>
          </w14:textFill>
        </w:rPr>
        <w:t>银行。根据《中华人民共和国行政处罚法》第五十一条规定，当事人逾期不履行行政处罚决定的，本机关可以采取以下措施：（一）到期不缴纳罚款的，每日按罚款数额的百分之三加处罚款；（二）申请人民法院强制执行。</w:t>
      </w:r>
    </w:p>
    <w:p>
      <w:pPr>
        <w:pStyle w:val="9"/>
        <w:widowControl w:val="0"/>
        <w:ind w:firstLine="640" w:firstLineChars="200"/>
        <w:rPr>
          <w:rFonts w:eastAsia="方正仿宋简体" w:cs="Times New Roman"/>
          <w:color w:val="000000" w:themeColor="text1"/>
          <w:szCs w:val="32"/>
          <w14:textFill>
            <w14:solidFill>
              <w14:schemeClr w14:val="tx1"/>
            </w14:solidFill>
          </w14:textFill>
        </w:rPr>
      </w:pPr>
      <w:r>
        <w:rPr>
          <w:rFonts w:eastAsia="方正仿宋简体" w:cs="Times New Roman"/>
          <w:color w:val="000000" w:themeColor="text1"/>
          <w:szCs w:val="32"/>
          <w14:textFill>
            <w14:solidFill>
              <w14:schemeClr w14:val="tx1"/>
            </w14:solidFill>
          </w14:textFill>
        </w:rPr>
        <w:t>缴款银行：四川省建行锦城支行</w:t>
      </w:r>
    </w:p>
    <w:p>
      <w:pPr>
        <w:pStyle w:val="9"/>
        <w:widowControl w:val="0"/>
        <w:ind w:firstLine="640" w:firstLineChars="200"/>
        <w:rPr>
          <w:rFonts w:eastAsia="方正仿宋简体" w:cs="Times New Roman"/>
          <w:color w:val="000000" w:themeColor="text1"/>
          <w:szCs w:val="32"/>
          <w14:textFill>
            <w14:solidFill>
              <w14:schemeClr w14:val="tx1"/>
            </w14:solidFill>
          </w14:textFill>
        </w:rPr>
      </w:pPr>
      <w:r>
        <w:rPr>
          <w:rFonts w:eastAsia="方正仿宋简体" w:cs="Times New Roman"/>
          <w:color w:val="000000" w:themeColor="text1"/>
          <w:szCs w:val="32"/>
          <w14:textFill>
            <w14:solidFill>
              <w14:schemeClr w14:val="tx1"/>
            </w14:solidFill>
          </w14:textFill>
        </w:rPr>
        <w:t>户　  名：四川省财政厅</w:t>
      </w:r>
    </w:p>
    <w:p>
      <w:pPr>
        <w:pStyle w:val="9"/>
        <w:widowControl w:val="0"/>
        <w:ind w:firstLine="640" w:firstLineChars="200"/>
        <w:rPr>
          <w:rFonts w:hint="eastAsia" w:eastAsia="方正仿宋简体" w:cs="Times New Roman"/>
          <w:color w:val="000000" w:themeColor="text1"/>
          <w:szCs w:val="32"/>
          <w:lang w:eastAsia="zh-CN"/>
          <w14:textFill>
            <w14:solidFill>
              <w14:schemeClr w14:val="tx1"/>
            </w14:solidFill>
          </w14:textFill>
        </w:rPr>
      </w:pPr>
      <w:r>
        <w:rPr>
          <w:rFonts w:eastAsia="方正仿宋简体" w:cs="Times New Roman"/>
          <w:color w:val="000000" w:themeColor="text1"/>
          <w:szCs w:val="32"/>
          <w14:textFill>
            <w14:solidFill>
              <w14:schemeClr w14:val="tx1"/>
            </w14:solidFill>
          </w14:textFill>
        </w:rPr>
        <w:t>帐　  号：</w:t>
      </w:r>
      <w:r>
        <w:rPr>
          <w:rFonts w:hint="eastAsia" w:eastAsia="方正仿宋简体" w:cs="Times New Roman"/>
          <w:color w:val="000000" w:themeColor="text1"/>
          <w:szCs w:val="32"/>
          <w:lang w:eastAsia="zh-CN"/>
          <w14:textFill>
            <w14:solidFill>
              <w14:schemeClr w14:val="tx1"/>
            </w14:solidFill>
          </w14:textFill>
        </w:rPr>
        <w:t>略</w:t>
      </w:r>
    </w:p>
    <w:p>
      <w:pPr>
        <w:pStyle w:val="9"/>
        <w:widowControl w:val="0"/>
        <w:ind w:firstLine="640" w:firstLineChars="200"/>
        <w:rPr>
          <w:rFonts w:eastAsia="方正仿宋简体" w:cs="Times New Roman"/>
          <w:color w:val="000000" w:themeColor="text1"/>
          <w:szCs w:val="32"/>
          <w14:textFill>
            <w14:solidFill>
              <w14:schemeClr w14:val="tx1"/>
            </w14:solidFill>
          </w14:textFill>
        </w:rPr>
      </w:pPr>
      <w:r>
        <w:rPr>
          <w:rFonts w:eastAsia="方正仿宋简体" w:cs="Times New Roman"/>
          <w:color w:val="000000" w:themeColor="text1"/>
          <w:szCs w:val="32"/>
          <w14:textFill>
            <w14:solidFill>
              <w14:schemeClr w14:val="tx1"/>
            </w14:solidFill>
          </w14:textFill>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shd w:val="clear" w:color="auto" w:fill="FFFFFF"/>
        <w:ind w:right="150" w:firstLine="200"/>
        <w:rPr>
          <w:rFonts w:cs="Times New Roman"/>
          <w:color w:val="000000" w:themeColor="text1"/>
          <w:szCs w:val="32"/>
          <w14:textFill>
            <w14:solidFill>
              <w14:schemeClr w14:val="tx1"/>
            </w14:solidFill>
          </w14:textFill>
        </w:rPr>
      </w:pPr>
    </w:p>
    <w:p>
      <w:pPr>
        <w:shd w:val="clear" w:color="auto" w:fill="FFFFFF"/>
        <w:ind w:right="150" w:firstLine="200"/>
        <w:rPr>
          <w:rFonts w:cs="Times New Roman"/>
          <w:color w:val="000000" w:themeColor="text1"/>
          <w:szCs w:val="32"/>
          <w14:textFill>
            <w14:solidFill>
              <w14:schemeClr w14:val="tx1"/>
            </w14:solidFill>
          </w14:textFill>
        </w:rPr>
      </w:pPr>
    </w:p>
    <w:p>
      <w:pPr>
        <w:shd w:val="clear" w:color="auto" w:fill="FFFFFF"/>
        <w:ind w:right="150" w:firstLine="200"/>
        <w:rPr>
          <w:rFonts w:cs="Times New Roman"/>
          <w:szCs w:val="32"/>
        </w:rPr>
      </w:pPr>
      <w:r>
        <w:rPr>
          <w:rFonts w:cs="Times New Roman"/>
          <w:szCs w:val="32"/>
        </w:rPr>
        <w:t xml:space="preserve">                             四川省市场监督管理局</w:t>
      </w:r>
    </w:p>
    <w:p>
      <w:pPr>
        <w:shd w:val="clear" w:color="auto" w:fill="FFFFFF"/>
        <w:ind w:right="150" w:firstLine="200"/>
        <w:rPr>
          <w:rFonts w:cs="Times New Roman"/>
          <w:szCs w:val="32"/>
        </w:rPr>
      </w:pPr>
      <w:r>
        <w:rPr>
          <w:rFonts w:cs="Times New Roman"/>
          <w:szCs w:val="32"/>
        </w:rPr>
        <w:t xml:space="preserve">                               2020年12月28日</w:t>
      </w: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ind w:right="150" w:firstLine="200"/>
        <w:rPr>
          <w:rFonts w:cs="Times New Roman"/>
          <w:szCs w:val="32"/>
        </w:rPr>
      </w:pPr>
    </w:p>
    <w:p>
      <w:pPr>
        <w:shd w:val="clear" w:color="auto" w:fill="FFFFFF"/>
        <w:spacing w:before="150" w:after="150"/>
        <w:ind w:right="675"/>
        <w:rPr>
          <w:rFonts w:eastAsia="方正黑体简体" w:cs="Times New Roman"/>
          <w:color w:val="000000" w:themeColor="text1"/>
          <w:kern w:val="0"/>
          <w:sz w:val="28"/>
          <w:szCs w:val="28"/>
          <w14:textFill>
            <w14:solidFill>
              <w14:schemeClr w14:val="tx1"/>
            </w14:solidFill>
          </w14:textFill>
        </w:rPr>
      </w:pPr>
      <w:r>
        <w:rPr>
          <w:rFonts w:eastAsia="方正黑体简体" w:cs="Times New Roman"/>
          <w:color w:val="000000" w:themeColor="text1"/>
          <w:kern w:val="0"/>
          <w:sz w:val="28"/>
          <w:szCs w:val="28"/>
          <w14:textFill>
            <w14:solidFill>
              <w14:schemeClr w14:val="tx1"/>
            </w14:solidFill>
          </w14:textFill>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jc w:val="left"/>
              <w:rPr>
                <w:rFonts w:cs="Times New Roman"/>
                <w:color w:val="000000" w:themeColor="text1"/>
                <w:kern w:val="0"/>
                <w:sz w:val="24"/>
                <w:szCs w:val="24"/>
                <w14:textFill>
                  <w14:solidFill>
                    <w14:schemeClr w14:val="tx1"/>
                  </w14:solidFill>
                </w14:textFill>
              </w:rPr>
            </w:pPr>
          </w:p>
        </w:tc>
      </w:tr>
    </w:tbl>
    <w:p>
      <w:pPr>
        <w:shd w:val="clear" w:color="auto" w:fill="FFFFFF"/>
        <w:ind w:right="150" w:firstLine="140" w:firstLineChars="50"/>
        <w:jc w:val="left"/>
        <w:rPr>
          <w:rFonts w:cs="Times New Roman"/>
          <w:color w:val="000000" w:themeColor="text1"/>
          <w:kern w:val="0"/>
          <w:sz w:val="28"/>
          <w:szCs w:val="28"/>
          <w14:textFill>
            <w14:solidFill>
              <w14:schemeClr w14:val="tx1"/>
            </w14:solidFill>
          </w14:textFill>
        </w:rPr>
      </w:pPr>
      <w:r>
        <w:rPr>
          <w:rFonts w:cs="Times New Roman"/>
          <w:color w:val="000000" w:themeColor="text1"/>
          <w:kern w:val="0"/>
          <w:sz w:val="28"/>
          <w:szCs w:val="28"/>
          <w14:textFill>
            <w14:solidFill>
              <w14:schemeClr w14:val="tx1"/>
            </w14:solidFill>
          </w14:textFill>
        </w:rPr>
        <w:t>本文书一式三份，一份送达，一份归档，一份办案机构留存。</w:t>
      </w:r>
    </w:p>
    <w:sectPr>
      <w:footerReference r:id="rId3" w:type="default"/>
      <w:footerReference r:id="rId4" w:type="even"/>
      <w:pgSz w:w="11906" w:h="16838"/>
      <w:pgMar w:top="1871" w:right="1361" w:bottom="1701" w:left="1588" w:header="851" w:footer="1077"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1421197"/>
      <w:docPartObj>
        <w:docPartGallery w:val="AutoText"/>
      </w:docPartObj>
    </w:sdtPr>
    <w:sdtEndPr>
      <w:rPr>
        <w:rFonts w:asciiTheme="majorEastAsia" w:hAnsiTheme="majorEastAsia" w:eastAsiaTheme="majorEastAsia"/>
        <w:sz w:val="24"/>
        <w:szCs w:val="24"/>
      </w:rPr>
    </w:sdtEndPr>
    <w:sdtContent>
      <w:p>
        <w:pPr>
          <w:pStyle w:val="3"/>
          <w:jc w:val="right"/>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7 -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4"/>
        <w:szCs w:val="24"/>
      </w:rPr>
      <w:id w:val="1515726555"/>
      <w:docPartObj>
        <w:docPartGallery w:val="AutoText"/>
      </w:docPartObj>
    </w:sdtPr>
    <w:sdtEndPr>
      <w:rPr>
        <w:rFonts w:asciiTheme="majorEastAsia" w:hAnsiTheme="majorEastAsia" w:eastAsiaTheme="majorEastAsia"/>
        <w:sz w:val="24"/>
        <w:szCs w:val="24"/>
      </w:rPr>
    </w:sdtEndPr>
    <w:sdtContent>
      <w:p>
        <w:pPr>
          <w:pStyle w:val="3"/>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6 -</w:t>
        </w:r>
        <w:r>
          <w:rPr>
            <w:rFonts w:asciiTheme="majorEastAsia" w:hAnsiTheme="majorEastAsia" w:eastAsiaTheme="maj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D62"/>
    <w:rsid w:val="000261E5"/>
    <w:rsid w:val="00043A11"/>
    <w:rsid w:val="000535FA"/>
    <w:rsid w:val="00054D62"/>
    <w:rsid w:val="00060034"/>
    <w:rsid w:val="000679FE"/>
    <w:rsid w:val="0008248F"/>
    <w:rsid w:val="00084188"/>
    <w:rsid w:val="0009167E"/>
    <w:rsid w:val="000A6890"/>
    <w:rsid w:val="000D1358"/>
    <w:rsid w:val="000D73A8"/>
    <w:rsid w:val="000D7F16"/>
    <w:rsid w:val="000E7A7A"/>
    <w:rsid w:val="000F3D7A"/>
    <w:rsid w:val="00146A1F"/>
    <w:rsid w:val="00154CD6"/>
    <w:rsid w:val="00163EB5"/>
    <w:rsid w:val="00164410"/>
    <w:rsid w:val="00176F86"/>
    <w:rsid w:val="001B6611"/>
    <w:rsid w:val="001B6ECD"/>
    <w:rsid w:val="001C1AF6"/>
    <w:rsid w:val="001C3186"/>
    <w:rsid w:val="001C32FA"/>
    <w:rsid w:val="001C5EE5"/>
    <w:rsid w:val="001C7256"/>
    <w:rsid w:val="001D03A6"/>
    <w:rsid w:val="002040F3"/>
    <w:rsid w:val="00213445"/>
    <w:rsid w:val="002440B7"/>
    <w:rsid w:val="00256EDC"/>
    <w:rsid w:val="0025701A"/>
    <w:rsid w:val="002601ED"/>
    <w:rsid w:val="002E3C1E"/>
    <w:rsid w:val="002E6EC7"/>
    <w:rsid w:val="002F4858"/>
    <w:rsid w:val="003029F1"/>
    <w:rsid w:val="00335ABD"/>
    <w:rsid w:val="00351192"/>
    <w:rsid w:val="00354D99"/>
    <w:rsid w:val="003765F0"/>
    <w:rsid w:val="00381E46"/>
    <w:rsid w:val="00396E5C"/>
    <w:rsid w:val="003C23CD"/>
    <w:rsid w:val="003E7357"/>
    <w:rsid w:val="003F46BA"/>
    <w:rsid w:val="003F73E9"/>
    <w:rsid w:val="00414680"/>
    <w:rsid w:val="00414983"/>
    <w:rsid w:val="00423766"/>
    <w:rsid w:val="0043682F"/>
    <w:rsid w:val="00441BC4"/>
    <w:rsid w:val="00482358"/>
    <w:rsid w:val="00487C9D"/>
    <w:rsid w:val="004A27B2"/>
    <w:rsid w:val="004A443B"/>
    <w:rsid w:val="004F2B14"/>
    <w:rsid w:val="005152E3"/>
    <w:rsid w:val="00520FF8"/>
    <w:rsid w:val="00531623"/>
    <w:rsid w:val="00537A97"/>
    <w:rsid w:val="005423F5"/>
    <w:rsid w:val="00553573"/>
    <w:rsid w:val="005C6931"/>
    <w:rsid w:val="005E75F9"/>
    <w:rsid w:val="005F5386"/>
    <w:rsid w:val="00607E4C"/>
    <w:rsid w:val="0061451C"/>
    <w:rsid w:val="00615C23"/>
    <w:rsid w:val="00635E9E"/>
    <w:rsid w:val="006B5697"/>
    <w:rsid w:val="006C6C8A"/>
    <w:rsid w:val="006E6DA7"/>
    <w:rsid w:val="00733E04"/>
    <w:rsid w:val="00762679"/>
    <w:rsid w:val="00786DF3"/>
    <w:rsid w:val="007D280D"/>
    <w:rsid w:val="007D5164"/>
    <w:rsid w:val="007F4A4E"/>
    <w:rsid w:val="00843914"/>
    <w:rsid w:val="008956B5"/>
    <w:rsid w:val="008D3C3E"/>
    <w:rsid w:val="008D7C91"/>
    <w:rsid w:val="008E3BBA"/>
    <w:rsid w:val="008F4C94"/>
    <w:rsid w:val="009113C9"/>
    <w:rsid w:val="0092150E"/>
    <w:rsid w:val="009A2EC4"/>
    <w:rsid w:val="009A4313"/>
    <w:rsid w:val="009C7AD7"/>
    <w:rsid w:val="009F61BC"/>
    <w:rsid w:val="009F74DB"/>
    <w:rsid w:val="00A011C9"/>
    <w:rsid w:val="00A13088"/>
    <w:rsid w:val="00A359F6"/>
    <w:rsid w:val="00A65B26"/>
    <w:rsid w:val="00A66EE9"/>
    <w:rsid w:val="00A777AD"/>
    <w:rsid w:val="00AA1DE9"/>
    <w:rsid w:val="00AA23B5"/>
    <w:rsid w:val="00AC7403"/>
    <w:rsid w:val="00AD7333"/>
    <w:rsid w:val="00AF071A"/>
    <w:rsid w:val="00B033B9"/>
    <w:rsid w:val="00B121E0"/>
    <w:rsid w:val="00BB69F6"/>
    <w:rsid w:val="00BD71BB"/>
    <w:rsid w:val="00C14730"/>
    <w:rsid w:val="00C2051C"/>
    <w:rsid w:val="00C6287E"/>
    <w:rsid w:val="00C76EF9"/>
    <w:rsid w:val="00CB7FAD"/>
    <w:rsid w:val="00CD67F0"/>
    <w:rsid w:val="00CD68AA"/>
    <w:rsid w:val="00CD69DC"/>
    <w:rsid w:val="00CF7833"/>
    <w:rsid w:val="00D12D28"/>
    <w:rsid w:val="00D20010"/>
    <w:rsid w:val="00D8051F"/>
    <w:rsid w:val="00DA684D"/>
    <w:rsid w:val="00E25B46"/>
    <w:rsid w:val="00E33295"/>
    <w:rsid w:val="00E4620B"/>
    <w:rsid w:val="00E710B6"/>
    <w:rsid w:val="00E928F5"/>
    <w:rsid w:val="00EC2546"/>
    <w:rsid w:val="00EC2880"/>
    <w:rsid w:val="00F245AD"/>
    <w:rsid w:val="00F55F31"/>
    <w:rsid w:val="00F80166"/>
    <w:rsid w:val="00F94335"/>
    <w:rsid w:val="00FB1E6B"/>
    <w:rsid w:val="00FD7FCB"/>
    <w:rsid w:val="671F2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eastAsia="宋体" w:cs="Mangal"/>
      <w:color w:val="00000A"/>
      <w:sz w:val="24"/>
      <w:szCs w:val="24"/>
      <w:lang w:val="zh-CN" w:bidi="hi-IN"/>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qFormat/>
    <w:uiPriority w:val="0"/>
    <w:rPr>
      <w:rFonts w:ascii="Times New Roman" w:hAnsi="Times New Roman" w:eastAsia="宋体" w:cs="Mangal"/>
      <w:color w:val="00000A"/>
      <w:sz w:val="24"/>
      <w:szCs w:val="24"/>
      <w:lang w:val="zh-CN" w:bidi="hi-IN"/>
    </w:rPr>
  </w:style>
  <w:style w:type="character" w:customStyle="1" w:styleId="8">
    <w:name w:val="p0 Char Char"/>
    <w:basedOn w:val="5"/>
    <w:link w:val="9"/>
    <w:qFormat/>
    <w:uiPriority w:val="0"/>
    <w:rPr>
      <w:rFonts w:eastAsia="宋体"/>
      <w:szCs w:val="21"/>
    </w:rPr>
  </w:style>
  <w:style w:type="paragraph" w:customStyle="1" w:styleId="9">
    <w:name w:val="p0"/>
    <w:basedOn w:val="1"/>
    <w:link w:val="8"/>
    <w:qFormat/>
    <w:uiPriority w:val="0"/>
    <w:pPr>
      <w:widowControl/>
    </w:pPr>
    <w:rPr>
      <w:rFonts w:eastAsia="宋体"/>
      <w:szCs w:val="21"/>
    </w:rPr>
  </w:style>
  <w:style w:type="character" w:customStyle="1" w:styleId="10">
    <w:name w:val="页眉 Char"/>
    <w:basedOn w:val="5"/>
    <w:link w:val="4"/>
    <w:qFormat/>
    <w:uiPriority w:val="99"/>
    <w:rPr>
      <w:sz w:val="18"/>
      <w:szCs w:val="18"/>
    </w:rPr>
  </w:style>
  <w:style w:type="character" w:customStyle="1" w:styleId="11">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529</Words>
  <Characters>3020</Characters>
  <Lines>25</Lines>
  <Paragraphs>7</Paragraphs>
  <TotalTime>4</TotalTime>
  <ScaleCrop>false</ScaleCrop>
  <LinksUpToDate>false</LinksUpToDate>
  <CharactersWithSpaces>3542</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2020-12-25T07:33:00Z</dcterms:created>
  <dc:creator>lenovoqq</dc:creator>
  <cp:lastModifiedBy>admin</cp:lastModifiedBy>
  <cp:lastPrinted>2021-03-12T07:40:20Z</cp:lastPrinted>
  <dcterms:modified xsi:type="dcterms:W3CDTF">2021-03-12T07:44:49Z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