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EB" w:rsidRPr="00690CEB" w:rsidRDefault="00690CEB" w:rsidP="00690CEB">
      <w:pPr>
        <w:jc w:val="center"/>
        <w:rPr>
          <w:rFonts w:ascii="仿宋" w:eastAsia="仿宋" w:hAnsi="仿宋"/>
          <w:b/>
          <w:sz w:val="52"/>
          <w:szCs w:val="52"/>
        </w:rPr>
      </w:pPr>
      <w:r w:rsidRPr="00690CEB">
        <w:rPr>
          <w:rFonts w:ascii="仿宋" w:eastAsia="仿宋" w:hAnsi="仿宋" w:hint="eastAsia"/>
          <w:b/>
          <w:sz w:val="52"/>
          <w:szCs w:val="52"/>
        </w:rPr>
        <w:t>广西壮族自治区工商行政管理局</w:t>
      </w:r>
    </w:p>
    <w:p w:rsidR="00690CEB" w:rsidRPr="004A6B02" w:rsidRDefault="00690CEB" w:rsidP="00690CEB">
      <w:pPr>
        <w:jc w:val="center"/>
        <w:rPr>
          <w:rFonts w:ascii="仿宋" w:eastAsia="仿宋" w:hAnsi="仿宋"/>
          <w:b/>
          <w:sz w:val="52"/>
          <w:szCs w:val="52"/>
        </w:rPr>
      </w:pPr>
      <w:r w:rsidRPr="004A6B02">
        <w:rPr>
          <w:rFonts w:ascii="仿宋" w:eastAsia="仿宋" w:hAnsi="仿宋" w:hint="eastAsia"/>
          <w:b/>
          <w:sz w:val="52"/>
          <w:szCs w:val="52"/>
        </w:rPr>
        <w:t>行</w:t>
      </w:r>
      <w:r w:rsidR="00F048BE">
        <w:rPr>
          <w:rFonts w:ascii="仿宋" w:eastAsia="仿宋" w:hAnsi="仿宋" w:hint="eastAsia"/>
          <w:b/>
          <w:sz w:val="52"/>
          <w:szCs w:val="52"/>
        </w:rPr>
        <w:t xml:space="preserve"> </w:t>
      </w:r>
      <w:r w:rsidRPr="004A6B02">
        <w:rPr>
          <w:rFonts w:ascii="仿宋" w:eastAsia="仿宋" w:hAnsi="仿宋" w:hint="eastAsia"/>
          <w:b/>
          <w:sz w:val="52"/>
          <w:szCs w:val="52"/>
        </w:rPr>
        <w:t>政</w:t>
      </w:r>
      <w:r w:rsidR="00F048BE">
        <w:rPr>
          <w:rFonts w:ascii="仿宋" w:eastAsia="仿宋" w:hAnsi="仿宋" w:hint="eastAsia"/>
          <w:b/>
          <w:sz w:val="52"/>
          <w:szCs w:val="52"/>
        </w:rPr>
        <w:t xml:space="preserve"> </w:t>
      </w:r>
      <w:r w:rsidRPr="004A6B02">
        <w:rPr>
          <w:rFonts w:ascii="仿宋" w:eastAsia="仿宋" w:hAnsi="仿宋" w:hint="eastAsia"/>
          <w:b/>
          <w:sz w:val="52"/>
          <w:szCs w:val="52"/>
        </w:rPr>
        <w:t>处</w:t>
      </w:r>
      <w:r w:rsidR="00F048BE">
        <w:rPr>
          <w:rFonts w:ascii="仿宋" w:eastAsia="仿宋" w:hAnsi="仿宋" w:hint="eastAsia"/>
          <w:b/>
          <w:sz w:val="52"/>
          <w:szCs w:val="52"/>
        </w:rPr>
        <w:t xml:space="preserve"> </w:t>
      </w:r>
      <w:r w:rsidRPr="004A6B02">
        <w:rPr>
          <w:rFonts w:ascii="仿宋" w:eastAsia="仿宋" w:hAnsi="仿宋" w:hint="eastAsia"/>
          <w:b/>
          <w:sz w:val="52"/>
          <w:szCs w:val="52"/>
        </w:rPr>
        <w:t>罚</w:t>
      </w:r>
      <w:r w:rsidR="00F048BE">
        <w:rPr>
          <w:rFonts w:ascii="仿宋" w:eastAsia="仿宋" w:hAnsi="仿宋" w:hint="eastAsia"/>
          <w:b/>
          <w:sz w:val="52"/>
          <w:szCs w:val="52"/>
        </w:rPr>
        <w:t xml:space="preserve"> </w:t>
      </w:r>
      <w:r w:rsidRPr="004A6B02">
        <w:rPr>
          <w:rFonts w:ascii="仿宋" w:eastAsia="仿宋" w:hAnsi="仿宋" w:hint="eastAsia"/>
          <w:b/>
          <w:sz w:val="52"/>
          <w:szCs w:val="52"/>
        </w:rPr>
        <w:t>决</w:t>
      </w:r>
      <w:r w:rsidR="00F048BE">
        <w:rPr>
          <w:rFonts w:ascii="仿宋" w:eastAsia="仿宋" w:hAnsi="仿宋" w:hint="eastAsia"/>
          <w:b/>
          <w:sz w:val="52"/>
          <w:szCs w:val="52"/>
        </w:rPr>
        <w:t xml:space="preserve"> </w:t>
      </w:r>
      <w:r w:rsidRPr="004A6B02">
        <w:rPr>
          <w:rFonts w:ascii="仿宋" w:eastAsia="仿宋" w:hAnsi="仿宋" w:hint="eastAsia"/>
          <w:b/>
          <w:sz w:val="52"/>
          <w:szCs w:val="52"/>
        </w:rPr>
        <w:t>定</w:t>
      </w:r>
      <w:r w:rsidR="00F048BE">
        <w:rPr>
          <w:rFonts w:ascii="仿宋" w:eastAsia="仿宋" w:hAnsi="仿宋" w:hint="eastAsia"/>
          <w:b/>
          <w:sz w:val="52"/>
          <w:szCs w:val="52"/>
        </w:rPr>
        <w:t xml:space="preserve"> </w:t>
      </w:r>
      <w:bookmarkStart w:id="0" w:name="_GoBack"/>
      <w:bookmarkEnd w:id="0"/>
      <w:r w:rsidRPr="004A6B02">
        <w:rPr>
          <w:rFonts w:ascii="仿宋" w:eastAsia="仿宋" w:hAnsi="仿宋" w:hint="eastAsia"/>
          <w:b/>
          <w:sz w:val="52"/>
          <w:szCs w:val="52"/>
        </w:rPr>
        <w:t>书</w:t>
      </w:r>
    </w:p>
    <w:p w:rsidR="00690CEB" w:rsidRPr="00690CEB" w:rsidRDefault="00690CEB" w:rsidP="00690CEB">
      <w:pPr>
        <w:pBdr>
          <w:bottom w:val="single" w:sz="4" w:space="1" w:color="auto"/>
        </w:pBdr>
        <w:jc w:val="center"/>
        <w:rPr>
          <w:rFonts w:ascii="仿宋" w:eastAsia="仿宋" w:hAnsi="仿宋"/>
          <w:sz w:val="32"/>
          <w:szCs w:val="32"/>
        </w:rPr>
      </w:pPr>
      <w:r w:rsidRPr="00690CEB">
        <w:rPr>
          <w:rFonts w:ascii="仿宋" w:eastAsia="仿宋" w:hAnsi="仿宋" w:hint="eastAsia"/>
          <w:sz w:val="32"/>
          <w:szCs w:val="32"/>
        </w:rPr>
        <w:t>桂工商经处字〔2017〕2号</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当事人：中国人民财产保险股份有限公司河池市分公司</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营业执照号码：451200000002234（1-1）</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营业场所：河池市金城江区西环路132号</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负责人：曾伟</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成立日期：1996年9月25日</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经营范围：财产损失保险、责任保险、信用保险、意外伤害保险、短期健康保险和保证保险等人民币或外币保险业务；国家委托经营的政策性保险；各类财产保险及其再保证保险的服务与咨询业务；代理其他保险公司办理有关业务；国家保险监管部门批准的其他业务。</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2013年12月19日，由国家工商行政管理总局授权本局对河池市保险行业涉嫌垄断行为立案调查处理。经本局领导批准，对河池市保险行业协会组织及相关保险企业达成、实施垄断协议一案进行立案调查。经调查，河池市保险行业协会组织河池市9家保险企业签订《摩托车保险业务自律协议》（以下简称《自律协议》），组织达成、实施垄断协议，违反了《中华人民共和国反垄断法》的相关规定。</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经查明，2008年7月期间，河池市保险行业协会牵头，</w:t>
      </w:r>
      <w:r w:rsidRPr="00690CEB">
        <w:rPr>
          <w:rFonts w:ascii="仿宋" w:eastAsia="仿宋" w:hAnsi="仿宋" w:hint="eastAsia"/>
          <w:sz w:val="32"/>
          <w:szCs w:val="32"/>
        </w:rPr>
        <w:lastRenderedPageBreak/>
        <w:t>以规范市场经营，防止恶性竞争为由，多次组织当事人及中国太平洋财产保险股份有限公司河池中心支公司、中国平安财产保险股份有限公司河池中心支公司、安邦财产保险股份有限公司河池中心支公司、都邦财产保险股份有限公司河池中心支公司、中国大地财产保险股份有限公司河池中心支公司、华安财产保险股份有限公司河池中心支公司共7家保险企业召开会议，讨论《金城江自律协议》的相关条款的有关事宜。经过河池保险行业协会多次征求意见，反复修改，上述7家保险企业达成一致意见，签订了《金城江自律协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河池保险行业协会于2008年7月23日以河保险行业协会发〔2008〕19号文件形式向7家签约单位印发了《金城江自律协议》，并委托广西正泰保险代理有限公司统一代理摩托车保险业务。《金城江自律协议》就车辆分配方案、操作程序、费用来源与管理、违约处理等内容做了规定，主要内容包括：1、金城江区内实行摩托车交强险统一签单试点；2、取消各财产保险公司在金城江区域内摩托车的签单权（含本公司员工自己的摩托车都必须到统一签单点办理投保手续）；3、河池保险行业协会委托正泰公司统一代管；4、车辆分配方案：人保27%、太保财25%、安邦9%、平安9%、大地12%、都邦9%、华安9%；5、签单地点第一次所购置设备的费用由各公司分摊；6、各财险公司将摩托车定额保费和手工保险单、保险卡盖好章送到签单点，由代办人员统一办理，代办</w:t>
      </w:r>
      <w:r w:rsidRPr="00690CEB">
        <w:rPr>
          <w:rFonts w:ascii="仿宋" w:eastAsia="仿宋" w:hAnsi="仿宋" w:hint="eastAsia"/>
          <w:sz w:val="32"/>
          <w:szCs w:val="32"/>
        </w:rPr>
        <w:lastRenderedPageBreak/>
        <w:t>人员负责按月按比例分配签单。每周公布一次各公司的保费报表。7、各产险公司按上月摩托车保险费收入的10%于次月10日前汇入保险协会指定帐户。8、实行统一签单后，各公司在统一签单点以外另设摩托车代理网点，并签有摩托车保单的，对该网点罚款5000元。各签约公司自己违约签发摩托车保险单的，每辆车交纳违约金2000元。9、凡是违约受处理单位，除处罚外，还在辖区内通报批评，受两次处罚的，取消比例分配资格。不准在辖区内经营摩托车保险业务。河池保险行业协会组织当事人达成了《金城江自律协议》，该协议得到执行。</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河池保险行业协会组织当事人宜州市下属公司及相关保险企业在宜州市达成了《宜州市摩托车交强险委托代理协议》（以下简称宜州代理协议）及《宜州市摩托车交强险委托代理补充协议》（以下简称宜州补充协议）该协议得到执行。自2008年11月27日，河池保险行业协会在第二次车险委员会会议上，对宜州、都安两县推行摩托车交强险统一出单问题征求各公司意见后，河池保险行业协会于2009年先后两次前去宜州市参与协议的制定，并协调解决当事人宜州支公司及中国太平洋财产保险股份有限公司宜州市支公司、中国平安财产保险股份有限公司宜州营销服务部、安邦财产保险股份有限公司宜州营销服务部、都邦财产保险股份有限公司宜州营销服务部、中国大地财产保险股份有限公司</w:t>
      </w:r>
      <w:r w:rsidRPr="00690CEB">
        <w:rPr>
          <w:rFonts w:ascii="仿宋" w:eastAsia="仿宋" w:hAnsi="仿宋" w:hint="eastAsia"/>
          <w:sz w:val="32"/>
          <w:szCs w:val="32"/>
        </w:rPr>
        <w:lastRenderedPageBreak/>
        <w:t>宜州市支公司等6家保险公司在摩托车交强险份额比例上的争执。《宜州代理协议》及《宜州补充协议》于2009年12月8日制定，由河池保险行业协会于2009年12月10日至15日拿给各保险公司负责人签字确认。《宜州代理协议》就操作程序、统一代理、费用结算等内容做了规定，主要内容包括：1、宜州市实行摩托车交强险统一签单试点，并由广西正泰保险代理有限责任公司统一设点、统一签单，取消各财产保险公司在宜州市辖区内摩托车的签单权（含本公司员工自己的摩托车都必须到统一签单点办理投保手续）；2、各财险公司将摩托车定额保费和手工保险单、保险卡盖好章送到签单点，并做领取记录，且所领取的保险单只能发给广西正泰代理保险有限公司使用，不允许发给任何单位和人个签单使用。由代办人员每月公布一次各公司的保费及市场占比报表；3、各产险公司按上月摩托车保费收入的13%作为管理费，由二级公司于次月15日前汇入广西正泰代理保险有限责任公司指定帐户。《宜州补充协议》就统一代理、违约处罚、份额比例、费用结算、新公司如何分配等内容做了规定，主要内容包括：1、宜州市实行摩托车交强险统一由广西正泰保险代理有限责任公司签单，任何单位不能与摩托车经销商、交警等部门再进行委托代办；2、如发现公司另有签发摩托车保险单行为的，所收到的保费计入份额内，管理费照交，并将协议的市场份额比例扣减3个百分点，扣减时间为</w:t>
      </w:r>
      <w:r w:rsidRPr="00690CEB">
        <w:rPr>
          <w:rFonts w:ascii="仿宋" w:eastAsia="仿宋" w:hAnsi="仿宋" w:hint="eastAsia"/>
          <w:sz w:val="32"/>
          <w:szCs w:val="32"/>
        </w:rPr>
        <w:lastRenderedPageBreak/>
        <w:t>三个月；3、份额比例如下：人保财险宜州支公司33%、太保产险宜州支公司28%、安邦产险宜州营销服务部13%、平安产险宜州营销服务部13%、大地产险宜州营销服务部6%、都邦产险宜州营销服务部6%；4、代办管理费逾期不交的，从下月起取消份额。5、有新的财产保险公司进入宜州市市场后，新公司的份额再进行协商解决。</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当事人依据协议规定，在统一签单点安装出单系统后，随即安排专人与代理公司交接摩托车保险单、保险卡、核对保费收入，并按月支付代理手续费，当事人不再自主开展摩托车交强险业务。</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河池保险行业协会组织当事人都安支公司及相关保险企业在都安县达成了《都安自律公约》及《都安代理协议》该协议得到执行。自2013年3月初，河池保险行业协会在都安县组织都安各财产保险公司开会，会议讨论在都安县实施摩托车险统一设点、统一出单事宜并划分都安摩托车交强险市场各保险公司市场份额，当事人也派出都安营销点的负责人参会，会议现场未签订协议。2013年3月15日，河池保险行业协会在河池市组织当事人及华安财险河池中支公司、太平洋财险河池中支公司、平安财险河支公司、安邦财险河池中支公司、正泰公司等5家公司签订《都安代理协议》，并于2013年3月15日组织上述公司签订《都安自律公约》，同年4月11日，河池保险行业协会以河池保险行业协会文</w:t>
      </w:r>
      <w:r w:rsidRPr="00690CEB">
        <w:rPr>
          <w:rFonts w:ascii="仿宋" w:eastAsia="仿宋" w:hAnsi="仿宋" w:hint="eastAsia"/>
          <w:sz w:val="32"/>
          <w:szCs w:val="32"/>
        </w:rPr>
        <w:lastRenderedPageBreak/>
        <w:t>件下发通知要求各财产保险公司执行。《都安代理协议》就统一代理、份额比例、费用来源与管理、新公司如何分配等内容做了规定，主要内容包括：1、都安县摩托车交强险由正泰公司统一代理签单，发现公司另有签发摩托车保险单行为的，将按照每单2000元处罚。2、份额比例如下：人保30%、太保财34%、安邦13%、平安11%、华安12%。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都安县市场后，新公司的份额再进行协商解决。</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河池保险行业协会组织当事人大化县下属公司及相关保险企业在大化县达成了《大化自律公约》及《大化代理协议》该协议得到执行。自2013年3月初，河池保险行业协会到大化县组织大化各财产保险公司开会，会议讨论在大化县实施摩托车险统一设点、统一出单事宜并划分大化摩托车交强险市场各保险公司市场份额，当事人在大化的营销部也派出负责人参会，会议现场未签订协议。2013年3月29日，河池市保险行业协会在河池市组织当事人、华安财险河池中</w:t>
      </w:r>
      <w:r w:rsidRPr="00690CEB">
        <w:rPr>
          <w:rFonts w:ascii="仿宋" w:eastAsia="仿宋" w:hAnsi="仿宋" w:hint="eastAsia"/>
          <w:sz w:val="32"/>
          <w:szCs w:val="32"/>
        </w:rPr>
        <w:lastRenderedPageBreak/>
        <w:t>支公司、安邦财险河池中支公司、太平洋财险河池中支公司等4家保险公司签订《大化代理协议》，并于2013年3月29日组织上述公司签订《大化自律公约》，同年4月11日，河池市保险行业协会以河池保险行业协会文件下发通知要求各财产保险公司执行。《大化代理协议》就统一代理、份额比例、费用来源与管理、新公司如何分配等内容做了规定，主要内容包括：1、大化县摩托车交强险由明明白白公司统一代理签单，发现公司另有签发摩托车保险单行为的，将按照每单2000元处罚。2、份额比例如下：人保40%、太保财26%、安邦17%、华安17%。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大化县市场后，新公司的份额再进行协商解决。</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河池保险行业协会组织当事人巴马县下属公司及相关保险企业在巴马县达成了《巴马自律公约》及《巴马代理协议》该协议得到执行。自2013年3月初，河池保险行业协会在巴马县组织巴马各财产保险公司开会，会议讨论在巴马</w:t>
      </w:r>
      <w:r w:rsidRPr="00690CEB">
        <w:rPr>
          <w:rFonts w:ascii="仿宋" w:eastAsia="仿宋" w:hAnsi="仿宋" w:hint="eastAsia"/>
          <w:sz w:val="32"/>
          <w:szCs w:val="32"/>
        </w:rPr>
        <w:lastRenderedPageBreak/>
        <w:t>县实施摩托车险统一设点、统一出单事宜并划分巴马摩托车交强险市场各保险公司市场份额，会议现场未签订协议。2013年3月11日，河池保险行业协会在河池市组织当事人、华安财险河池中支公司、大地财险河池中支公司、太平洋财险河池中支公司、安邦财险河池中支公司、华安财险河池中支公司、明明白白公司等6家公司签订《巴马代理协议》，并于同日组织上述保险公司签订《巴马自律公约》，同年3月27日，河池保险行业协会以河池保险行业协会文件下发通知要求各财产保险公司执行。《巴马代理协议》就统一代理、份额比例、费用来源与管理、新公司如何分配等内容做了规定，主要内容包括：1、巴马县摩托车交强险由广西明明白白保险销售有限公司河池分公司统一代理签单，发现公司另有签发摩托车保险单行为的，将按照每单2000元处罚。2、份额比例如下：人保44%、太保21%、安邦16%、大地9%、华安10%。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巴马县市场后，新公司的</w:t>
      </w:r>
      <w:r w:rsidRPr="00690CEB">
        <w:rPr>
          <w:rFonts w:ascii="仿宋" w:eastAsia="仿宋" w:hAnsi="仿宋" w:hint="eastAsia"/>
          <w:sz w:val="32"/>
          <w:szCs w:val="32"/>
        </w:rPr>
        <w:lastRenderedPageBreak/>
        <w:t>份额再进行协商解决。</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依据协议规定，在统一签单点安装出单系统后，随即安排专人与代理公司交接摩托车保险单、保险卡、核对保费收入，并按月支付代理手续费，当事人不再自主开展摩托车交强险业务。金城江区、宜州市、都安县的摩托车交强险统保业务由正泰公司依据《金城江自律协议》、《宜州补充协议》、《都安代理协议》负责具体操作执行。大化县、巴马县由明明白白公司依据《大化代理协议》、《巴马代理协议》负责具体操作执行，各保险公司不再自主销售摩托车交强险单。</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还查明，河池保险行业协会于2009年4月30日下发的关于取消《金城江自律协议》的通知（河保险行业协会〔2009〕11号），2014年3月10日下发关于取消《大化自律公约》的通知（河保险行业协会〔2014〕6号），2014年3月11日下发关于取消《巴马自律公约》的通知（河保险行业协会〔2014〕8号），2014年3月11日下发关于取消《都安自律公约》的通知（河保险行业协会〔2014〕9号）。但在实际执行过程中，河池市保险行业协会与当事人、各保险公司以及保险代理公司，均承认仍按原协议规定的内容继续实行摩托车统保业务，并未停止。经统计当事人2013年承保摩托车28,730台，交强险保费收入3,448,558元。</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经查证，上述事实由以下证据证实：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lastRenderedPageBreak/>
        <w:t>第一组证据：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当事人的《营业执照》，注册号：451200000002234（1-1）证明当事人的主体资格。</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第二组证据：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1、本局对当事人及其涉案支公司负责人、工作人员进行调查制作的《询问笔录》15份。证实当事人在河池保险行业协会的组织下，签订《金城江自律协议》、《宜州代理协议》、《宜州补充协议》、《都安代理协议》、《大化代理协议》、《大化自律公约》、《巴马代理协议》、《巴马自律公约》的背景、经过及在实际运行中依据上述协议执行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2、对河池保险行业协会秘书长及其相关人员进行询问制作的《询问笔录》3份，证明当事人在河池保险行业协会组织协调下签订《金城江自律协议》、《宜州代理协议》、《宜州补充协议》、《都安代理协议》、《大化代理协议》、《大化自律公约》、《巴马代理协议》、《巴马自律公约》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3、对其余6家保险企业负责人进行调查制作的《询问笔录》8份，证明各保险企业在河池保险行业协会的组织协调下，签订《金城江自律协议》、《宜州代理协议》、《宜州补充协议》、《都安代理协议》、《大化代理协议》、《大化自律公约》、《巴马代理协议》、《巴马自律公约》与当事人签订的相关协议内容一致。</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4、对正泰公司负责人制作的《询问笔录》1份，证实代</w:t>
      </w:r>
      <w:r w:rsidRPr="00690CEB">
        <w:rPr>
          <w:rFonts w:ascii="仿宋" w:eastAsia="仿宋" w:hAnsi="仿宋" w:hint="eastAsia"/>
          <w:sz w:val="32"/>
          <w:szCs w:val="32"/>
        </w:rPr>
        <w:lastRenderedPageBreak/>
        <w:t>理公司按照当事人的市场份额，在具体承保过程中实施份额调配的事实。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5、对明明白白公司负责人制作的《询问笔录》1份，证实代理公司按照当事人的市场份额，在具体承保过程中实施份额调配的事实。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6、对协议外其它保险公司、保险代理公司相关人员制作的《调查笔录》2份。证明由于河池市实行统一出单后，其他有资质的保险代理公司不能开展摩托车保险代理业务的事实。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第三组证据：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1、本局向当事人调取的相关文件资料：《关于印发〈河池市金城江区摩托车摩托业务自律协议〉的通知》、《宜州代理协议》、《宜州补充协议》、《都安代理协议》、《都安自律公约》、《大化代理协议》、《大化自律公约》、《巴马代理协议》、《巴马自律公约》证明当事人签订的协议中有划分摩托车保险市场份额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2、本局向当事人调取的中介代理资料：《保险代理合同》、保险中介服务统一发票、河池市地方税务局通用机打发票复印件。证明当事人依据协议规定统一委托正泰公司、明明白白公司代理摩托车保险业务，并支付相关费用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3、本局向河池保险行业协会调取的相关资料：2008年第二次车险委员会会议记录、河保险行业协会发〔2008〕26</w:t>
      </w:r>
      <w:r w:rsidRPr="00690CEB">
        <w:rPr>
          <w:rFonts w:ascii="仿宋" w:eastAsia="仿宋" w:hAnsi="仿宋" w:hint="eastAsia"/>
          <w:sz w:val="32"/>
          <w:szCs w:val="32"/>
        </w:rPr>
        <w:lastRenderedPageBreak/>
        <w:t>号报送《河池保险行业协会自律协议有关情况汇报》的报告、保监发〔2008〕111号关于做好机动车辆保险承保工作有关问题的通知、河保险行业协会发〔2009〕7号关于印发河池保险行业机动车辆保险专业委员会第三次会议纪要的通知、河保险行业协会发〔2009〕11号关于取消《河池市金城江区摩托车保险业务自律协议》的通知、河保险行业协会报〔2013〕11号河池保险行业协会关于评估清理自律协议情况的报告。证明河池保险行业协会在明知相关协议内容违反《中华人民共和国反垄断法》的情况下，仍继续组织协调当事人达成《宜州代理协议》、《宜州补充协议》、《都安代理协议》、《大化代理协议》、《大化自律公约》、《巴马代理协议》、《巴马自律公约》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4、本局收集的投保人及第三方（宜州市华谊汽车服务有限责任公司、宜州市东盛机动车检测有限公司）的证据：向摩托车投保人收集的《调查表》，证明由于河池市实行统一出单后，对投保人自主投保造成不便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第四组证据：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1、本局向当事人调取的会费支付凭证：关于2013年会费收取的通知、关于2014年会费收取的通知、广西壮族自治区社会团体会费统一收据、现金管理交易凭证、电子银行交易回单复印件，证明当事人加入河池保险行业协会并支付会员费的事实。</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lastRenderedPageBreak/>
        <w:t>2、本局向当事人调取的相关财务资料及相关报表。</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（1）当事人2013年摩托车保费收入统计表；</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（2）当事人2013年向正泰公司、明明白白公司支付代理手续费汇总表；</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 xml:space="preserve">（3）当事人2013年1月至12月正泰代理摩托车手续费清单。　　</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以上证据主要证明当事人上一年度（2013年）金城江区、宜州市、都安县、大化县、巴马县等5市、县、区摩托车交强险保费收入为3,448,558元。</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中华人民共和国反垄断法》第十三条规定禁止具有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我们认为垄断协议具有以下特征：其一，垄断协议实施的主体为两个或者两个以上的经营者；其二，垄断协议的表现形式，除书面形式外，还包括口头形式以及协同一致的行为；其三，垄断协议具有排除、限制竞争的性质。</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本案当事人与本行业具有竞争关系的6家保险企业达成</w:t>
      </w:r>
      <w:r w:rsidRPr="00690CEB">
        <w:rPr>
          <w:rFonts w:ascii="仿宋" w:eastAsia="仿宋" w:hAnsi="仿宋" w:hint="eastAsia"/>
          <w:sz w:val="32"/>
          <w:szCs w:val="32"/>
        </w:rPr>
        <w:lastRenderedPageBreak/>
        <w:t>并实施的《金城江自律协议》、《宜州代理协议》、《宜州补充协议》、《都安代理协议》、《大化代理协议》、《大化自律公约》、《巴马代理协议》、《巴马自律公约》具有垄断协议的法律特征：第一，协议签约单位均为河池保险行业协会产险理事会成员单位，属于经营同种业务的独立经营者，相互之间在河池市区域内具有明显的竞争关系。第二，当事人在河池保险行业协会的组织协调下，与另6家保险企业签订了以划分摩托车市场份额为内容的书面协议即《金城江自律协议》、《宜州补充协议》、《宜州补充协议》、《都安代理协议》、《大化代理协议》、《大化自律公约》、《巴马代理协议》、《巴马自律公约》。第三，协议具有排除、限制竞争的性质，具体表现在以下方面：其一，协议规定由代理公司统一设点、统一代理签单，取消各保险企业的自主签单权。其二，协议明确了一系列措施，以保障“分割销售市场”执行：一是规定所有摩托车保险业务必须由代理公司办理保险手续，取消各保险企业的签单权；二是规定保险企业不能委托其他部门销售摩托车交强险；三是制定严格的处罚制度，以保障“分割销售市场”的执行。相关使原本具有竞争关系的7家保险企业结成利益联盟，对计划额度形成依赖，丧失参与竞争的动力和积极性，具有明显的排除、限制摩托车保险市场竞争的法律特征。</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当事人在河池保险行业协会的组织协调下，签订的《金</w:t>
      </w:r>
      <w:r w:rsidRPr="00690CEB">
        <w:rPr>
          <w:rFonts w:ascii="仿宋" w:eastAsia="仿宋" w:hAnsi="仿宋" w:hint="eastAsia"/>
          <w:sz w:val="32"/>
          <w:szCs w:val="32"/>
        </w:rPr>
        <w:lastRenderedPageBreak/>
        <w:t>城江自律协议》、《宜州补充协议》、《都安代理协议》、《大化代理协议》、《大化自律公约》、《巴马代理协议》、《巴马自律公约》，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补充协议》、《都安代理协议》、《大化代理协议》、《大化自律公约》、《巴马代理协议》、《巴马自律公约》等自律协议属于《中华人民共和国反垄断法》第十三条第一款第（三）项的规定所禁止的“分割销售市场”和《工商行政管理机关禁止垄断协议行为的规定》第五条第一款第（一）项所禁止的“划分销售商品的数量”的垄断协议。</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2016年10月25日，本局向当事人送达了桂工商经检听</w:t>
      </w:r>
      <w:r w:rsidRPr="00690CEB">
        <w:rPr>
          <w:rFonts w:ascii="仿宋" w:eastAsia="仿宋" w:hAnsi="仿宋" w:hint="eastAsia"/>
          <w:sz w:val="32"/>
          <w:szCs w:val="32"/>
        </w:rPr>
        <w:lastRenderedPageBreak/>
        <w:t>字〔2016〕2号《行政处罚听证告知书》，告知当事人拟作出行政处罚的事实、理由、依据，并告知当事人依法享有的权利。当事人在规定的时间内，未提出听证申请，也未提出陈述、申辩意见。</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依据《中华人民共和国反垄断法》第四十六条第一款、《工商行政管理机关禁止垄断协议行为的规定》（国家工商行政管理总局令第53号）第十条第一款的规定，本局对当事人作出以下处罚决定：1、责令停止达成、实施分割销售市场的垄断协议行为；2、按中国人民财产保险股份有限公司河池市分公司2013年摩托车交强险销售额收入（3,448,558元）的5%处以罚款，计人民币壹拾柒万贰仟肆佰元整（￥172,400.00元）。上缴国库。</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当事人应在收到本决定书之日起十五日内到中国建设银行五象广场支行（地址：南宁市青秀区金湖北路58号广</w:t>
      </w:r>
      <w:r w:rsidRPr="00690CEB">
        <w:rPr>
          <w:rFonts w:ascii="仿宋" w:eastAsia="仿宋" w:hAnsi="仿宋" w:hint="eastAsia"/>
          <w:sz w:val="32"/>
          <w:szCs w:val="32"/>
        </w:rPr>
        <w:lastRenderedPageBreak/>
        <w:t>西建设大厦，帐户：广西壮族自治区工商行政管理局，帐号：45001604663050500966）缴纳上述款项，逾期不缴纳，本局将依照《中华人民共和国行政处罚法》第五十一条之规定，采取下列措施：（一）每日按罚款数额的百分之三加处罚款；（二）申请人民法院强制执行。</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当事人如不服本决定，可在接到本处罚决定书之日起六十日内，向国家工商行政管理总局或广西壮族自治区人民政府申请行政复议或在六个月内向南宁市青秀区人民法院提起行政诉讼。复议、诉讼期间，本处罚决定不停止执行。</w:t>
      </w:r>
    </w:p>
    <w:p w:rsidR="00690CEB" w:rsidRPr="00690CEB" w:rsidRDefault="00690CEB" w:rsidP="00690CEB">
      <w:pPr>
        <w:spacing w:line="480" w:lineRule="auto"/>
        <w:ind w:firstLineChars="200" w:firstLine="640"/>
        <w:rPr>
          <w:rFonts w:ascii="仿宋" w:eastAsia="仿宋" w:hAnsi="仿宋"/>
          <w:sz w:val="32"/>
          <w:szCs w:val="32"/>
        </w:rPr>
      </w:pPr>
      <w:r w:rsidRPr="00690CEB">
        <w:rPr>
          <w:rFonts w:ascii="仿宋" w:eastAsia="仿宋" w:hAnsi="仿宋" w:hint="eastAsia"/>
          <w:sz w:val="32"/>
          <w:szCs w:val="32"/>
        </w:rPr>
        <w:t>广西壮族自治区工商行政管理局</w:t>
      </w:r>
    </w:p>
    <w:p w:rsidR="00517D05" w:rsidRPr="00690CEB" w:rsidRDefault="00690CEB" w:rsidP="00ED71EF">
      <w:pPr>
        <w:wordWrap w:val="0"/>
        <w:spacing w:line="480" w:lineRule="auto"/>
        <w:ind w:firstLineChars="200" w:firstLine="640"/>
        <w:jc w:val="right"/>
        <w:rPr>
          <w:rFonts w:ascii="仿宋" w:eastAsia="仿宋" w:hAnsi="仿宋"/>
          <w:sz w:val="32"/>
          <w:szCs w:val="32"/>
        </w:rPr>
      </w:pPr>
      <w:r w:rsidRPr="00690CEB">
        <w:rPr>
          <w:rFonts w:ascii="仿宋" w:eastAsia="仿宋" w:hAnsi="仿宋" w:hint="eastAsia"/>
          <w:sz w:val="32"/>
          <w:szCs w:val="32"/>
        </w:rPr>
        <w:t>2017年3月20日</w:t>
      </w:r>
      <w:r w:rsidR="00ED71EF">
        <w:rPr>
          <w:rFonts w:ascii="仿宋" w:eastAsia="仿宋" w:hAnsi="仿宋" w:hint="eastAsia"/>
          <w:sz w:val="32"/>
          <w:szCs w:val="32"/>
        </w:rPr>
        <w:t xml:space="preserve">    </w:t>
      </w:r>
    </w:p>
    <w:sectPr w:rsidR="00517D05" w:rsidRPr="00690CEB" w:rsidSect="00690C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D49"/>
    <w:rsid w:val="00230D49"/>
    <w:rsid w:val="004A6B02"/>
    <w:rsid w:val="00517D05"/>
    <w:rsid w:val="00690CEB"/>
    <w:rsid w:val="00ED71EF"/>
    <w:rsid w:val="00F04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1345</Words>
  <Characters>7673</Characters>
  <Application>Microsoft Office Word</Application>
  <DocSecurity>0</DocSecurity>
  <Lines>63</Lines>
  <Paragraphs>17</Paragraphs>
  <ScaleCrop>false</ScaleCrop>
  <Company>Microsoft</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5</cp:revision>
  <dcterms:created xsi:type="dcterms:W3CDTF">2017-04-13T02:19:00Z</dcterms:created>
  <dcterms:modified xsi:type="dcterms:W3CDTF">2017-04-13T09:06:00Z</dcterms:modified>
</cp:coreProperties>
</file>