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DC1" w:rsidRPr="004A7DC1" w:rsidRDefault="004A7DC1" w:rsidP="004A7DC1">
      <w:pPr>
        <w:spacing w:line="480" w:lineRule="auto"/>
        <w:jc w:val="center"/>
        <w:rPr>
          <w:rFonts w:ascii="仿宋" w:eastAsia="仿宋" w:hAnsi="仿宋"/>
          <w:b/>
          <w:sz w:val="52"/>
          <w:szCs w:val="52"/>
        </w:rPr>
      </w:pPr>
      <w:r w:rsidRPr="004A7DC1">
        <w:rPr>
          <w:rFonts w:ascii="仿宋" w:eastAsia="仿宋" w:hAnsi="仿宋" w:hint="eastAsia"/>
          <w:b/>
          <w:sz w:val="52"/>
          <w:szCs w:val="52"/>
        </w:rPr>
        <w:t>广西壮族自治区工商行政管理局</w:t>
      </w:r>
    </w:p>
    <w:p w:rsidR="004A7DC1" w:rsidRPr="004A7DC1" w:rsidRDefault="004A7DC1" w:rsidP="004A7DC1">
      <w:pPr>
        <w:spacing w:line="480" w:lineRule="auto"/>
        <w:jc w:val="center"/>
        <w:rPr>
          <w:rFonts w:ascii="仿宋" w:eastAsia="仿宋" w:hAnsi="仿宋"/>
          <w:b/>
          <w:sz w:val="52"/>
          <w:szCs w:val="52"/>
        </w:rPr>
      </w:pPr>
      <w:r w:rsidRPr="004A7DC1">
        <w:rPr>
          <w:rFonts w:ascii="仿宋" w:eastAsia="仿宋" w:hAnsi="仿宋" w:hint="eastAsia"/>
          <w:b/>
          <w:sz w:val="52"/>
          <w:szCs w:val="52"/>
        </w:rPr>
        <w:t>行</w:t>
      </w:r>
      <w:r w:rsidR="003874BE">
        <w:rPr>
          <w:rFonts w:ascii="仿宋" w:eastAsia="仿宋" w:hAnsi="仿宋" w:hint="eastAsia"/>
          <w:b/>
          <w:sz w:val="52"/>
          <w:szCs w:val="52"/>
        </w:rPr>
        <w:t xml:space="preserve"> </w:t>
      </w:r>
      <w:r w:rsidRPr="004A7DC1">
        <w:rPr>
          <w:rFonts w:ascii="仿宋" w:eastAsia="仿宋" w:hAnsi="仿宋" w:hint="eastAsia"/>
          <w:b/>
          <w:sz w:val="52"/>
          <w:szCs w:val="52"/>
        </w:rPr>
        <w:t>政</w:t>
      </w:r>
      <w:r w:rsidR="003874BE">
        <w:rPr>
          <w:rFonts w:ascii="仿宋" w:eastAsia="仿宋" w:hAnsi="仿宋" w:hint="eastAsia"/>
          <w:b/>
          <w:sz w:val="52"/>
          <w:szCs w:val="52"/>
        </w:rPr>
        <w:t xml:space="preserve"> </w:t>
      </w:r>
      <w:r w:rsidRPr="004A7DC1">
        <w:rPr>
          <w:rFonts w:ascii="仿宋" w:eastAsia="仿宋" w:hAnsi="仿宋" w:hint="eastAsia"/>
          <w:b/>
          <w:sz w:val="52"/>
          <w:szCs w:val="52"/>
        </w:rPr>
        <w:t>处</w:t>
      </w:r>
      <w:r w:rsidR="003874BE">
        <w:rPr>
          <w:rFonts w:ascii="仿宋" w:eastAsia="仿宋" w:hAnsi="仿宋" w:hint="eastAsia"/>
          <w:b/>
          <w:sz w:val="52"/>
          <w:szCs w:val="52"/>
        </w:rPr>
        <w:t xml:space="preserve"> </w:t>
      </w:r>
      <w:r w:rsidRPr="004A7DC1">
        <w:rPr>
          <w:rFonts w:ascii="仿宋" w:eastAsia="仿宋" w:hAnsi="仿宋" w:hint="eastAsia"/>
          <w:b/>
          <w:sz w:val="52"/>
          <w:szCs w:val="52"/>
        </w:rPr>
        <w:t>罚</w:t>
      </w:r>
      <w:r w:rsidR="003874BE">
        <w:rPr>
          <w:rFonts w:ascii="仿宋" w:eastAsia="仿宋" w:hAnsi="仿宋" w:hint="eastAsia"/>
          <w:b/>
          <w:sz w:val="52"/>
          <w:szCs w:val="52"/>
        </w:rPr>
        <w:t xml:space="preserve"> </w:t>
      </w:r>
      <w:r w:rsidRPr="004A7DC1">
        <w:rPr>
          <w:rFonts w:ascii="仿宋" w:eastAsia="仿宋" w:hAnsi="仿宋" w:hint="eastAsia"/>
          <w:b/>
          <w:sz w:val="52"/>
          <w:szCs w:val="52"/>
        </w:rPr>
        <w:t>决</w:t>
      </w:r>
      <w:r w:rsidR="003874BE">
        <w:rPr>
          <w:rFonts w:ascii="仿宋" w:eastAsia="仿宋" w:hAnsi="仿宋" w:hint="eastAsia"/>
          <w:b/>
          <w:sz w:val="52"/>
          <w:szCs w:val="52"/>
        </w:rPr>
        <w:t xml:space="preserve"> </w:t>
      </w:r>
      <w:r w:rsidRPr="004A7DC1">
        <w:rPr>
          <w:rFonts w:ascii="仿宋" w:eastAsia="仿宋" w:hAnsi="仿宋" w:hint="eastAsia"/>
          <w:b/>
          <w:sz w:val="52"/>
          <w:szCs w:val="52"/>
        </w:rPr>
        <w:t>定</w:t>
      </w:r>
      <w:r w:rsidR="003874BE">
        <w:rPr>
          <w:rFonts w:ascii="仿宋" w:eastAsia="仿宋" w:hAnsi="仿宋" w:hint="eastAsia"/>
          <w:b/>
          <w:sz w:val="52"/>
          <w:szCs w:val="52"/>
        </w:rPr>
        <w:t xml:space="preserve"> </w:t>
      </w:r>
      <w:bookmarkStart w:id="0" w:name="_GoBack"/>
      <w:bookmarkEnd w:id="0"/>
      <w:r w:rsidRPr="004A7DC1">
        <w:rPr>
          <w:rFonts w:ascii="仿宋" w:eastAsia="仿宋" w:hAnsi="仿宋" w:hint="eastAsia"/>
          <w:b/>
          <w:sz w:val="52"/>
          <w:szCs w:val="52"/>
        </w:rPr>
        <w:t>书</w:t>
      </w:r>
    </w:p>
    <w:p w:rsidR="004A7DC1" w:rsidRPr="004A7DC1" w:rsidRDefault="004A7DC1" w:rsidP="00E004F0">
      <w:pPr>
        <w:pBdr>
          <w:bottom w:val="single" w:sz="4" w:space="1" w:color="auto"/>
        </w:pBdr>
        <w:spacing w:line="480" w:lineRule="auto"/>
        <w:jc w:val="center"/>
        <w:rPr>
          <w:rFonts w:ascii="仿宋" w:eastAsia="仿宋" w:hAnsi="仿宋"/>
          <w:sz w:val="32"/>
          <w:szCs w:val="32"/>
        </w:rPr>
      </w:pPr>
      <w:r w:rsidRPr="004A7DC1">
        <w:rPr>
          <w:rFonts w:ascii="仿宋" w:eastAsia="仿宋" w:hAnsi="仿宋" w:hint="eastAsia"/>
          <w:sz w:val="32"/>
          <w:szCs w:val="32"/>
        </w:rPr>
        <w:t>桂工商经处字〔2017〕3号</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当事人：中国太平洋财产保险股份有限公司河池中心支公司</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营业执照号码：451200000006514</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住  所：河池市南新西路149-8号</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负责人：韦国德</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经营范围：企业财产损失保险；家庭财产损失保险；建筑工程保险；安装工程保险；货物运输保险；机动车辆保险；船舶保险；能源保险；一般责任保险；保证保险；信用保险（出口信用险除外）；短期健康保险；意外伤害保险；经中国保监会批准的其他财产保险业务。</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2013年12月19日，由国家工商行政管理总局授权本局对河池市保险行业涉嫌垄断行为立案调查处理。经本局领导批准，对河池市保险行业协会组织及相关的保险企业达成、实施垄断协议一案进行立案调查。经调查，河池市保险行业协会（以下简称河池保协）组织河池市9家保险企业签订《摩托车保险业务自律协议》（以下简称《自律协议》），组织达成、实施垄断协议，违反了《中华人民共和国反垄断法》的相关规定。</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lastRenderedPageBreak/>
        <w:t>经查明，2008年7月期间，河池保协牵头以规范市场经营，防止恶性竞争为由，多次组织中国太平洋财产保险股份有限公司河池中心支公司、中国人民财产保险股份有限公司河池市分公司、中国平安财产保险股份有限公司河池中心支公司、安邦财产保险股份有限公司河池中心支公司、中国大地财产保险股份有限公司河池中心支公司、华安财产保险股份有限公司河池中心支公司、都邦财产保险股份有限公司河池中心支公司共7家保险企业召开会议，讨论《金城江自律协议》的相关条款的有关事宜。经过河池保协多次征求意见，反复修改，上述7家保险企业达成一致意见，签订了《金城江自律协议》。河池保协于2008年7月23日以河保协发〔2008〕19号文件形式向7家签约单位印发了《金城江自律协议》，并委托广西正泰保险代理有限公司统一代理摩托车保险业务。《金城江自律协议》就车辆分配方案、操作程序、费用来源与管理、违约处理等内容做了规定，主要内容包括：1、金城江区内实行摩托车交强险统一签单试点；2、取消各财产保险公司在金城江区域内摩托车的签单权（含本公司员工自己的摩托车都必须到统一签单点办理投保手续）；3、河池保协委托正泰公司统一代管；4、车辆分配方案：人保27%、太保财25%、安邦9%、平安9%、大地12%、都邦9%、华安9%；5、签单地点第一次所购置设备的费用由各公司分摊；6、各财险公司将摩托车定额保费和手工保险单、保险卡盖好章</w:t>
      </w:r>
      <w:r w:rsidRPr="004A7DC1">
        <w:rPr>
          <w:rFonts w:ascii="仿宋" w:eastAsia="仿宋" w:hAnsi="仿宋" w:hint="eastAsia"/>
          <w:sz w:val="32"/>
          <w:szCs w:val="32"/>
        </w:rPr>
        <w:lastRenderedPageBreak/>
        <w:t>送到签单点，由代办人员统一办理，代办人员负责按月按比例分配签单。每周公布一次各公司的保费报表。7、各产险公司按上月摩托车保险费收入的10%于次月10日前汇入保险协会指定帐户。8、实行统一签单后，各公司在统一签单点以外另设摩托车代理网点，并签有摩托车保单的，对该网点罚款5000元。各签约公司自己违约签发摩托车保险单的，每辆车交纳违约金2000元。9、凡是违约受处理单位，除处罚外，还在辖区内通报批评，受两次处罚的，取消比例分配资格。不准在辖区内经营摩托车保险业务。</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河池保协组织当事人及宜州市下属公司，和相关保险企业在宜州市达成了《宜州市摩托车交强险委托代理补充协议》（以下简称宜州补充协议）及《宜州市摩托车交强险委托代理协议》（以下简称宜州代理协议）该协议得到执行。</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自2008年11月27日，河池保协在第二次车险委员会会议上，对宜州、都安两县推行摩托车交强险统一出单问题，征求各公司意见后，河池保协于2009年先后两次前去宜州市参与协议的制定，并协调解决当事人宜州营销部及中国人民财产保险股份有限公司宜州市支公司、中国平安财产保险股份有限公司宜州营销服务部、安邦财产保险股份有限公司宜州营销服务部、中国大地财产保险股份有限公司宜州市支公司等6家保险公司在摩托车交强险份额比例上的争执。《宜州代理协议》及《宜州补充协议》于2009年12月8日制定，</w:t>
      </w:r>
      <w:r w:rsidRPr="004A7DC1">
        <w:rPr>
          <w:rFonts w:ascii="仿宋" w:eastAsia="仿宋" w:hAnsi="仿宋" w:hint="eastAsia"/>
          <w:sz w:val="32"/>
          <w:szCs w:val="32"/>
        </w:rPr>
        <w:lastRenderedPageBreak/>
        <w:t>由河池保协于2009年12月10日至15日拿给各保险公司负责人签字确认。《宜州代理协议》就操作程序、统一代理、费用结算等内容做了规定，主要内容包括：1、宜州市实行摩托车交强险统一签单试点，并由广西正泰保险代理有限责任公司统一设点、统一签单，取消各财产保险公司在宜州市辖区内摩托车的签单权（含本公司员工自己的摩托车都必须到统一签单点办理投保手续）；2、各财险公司将摩托车定额保费和手工保险单、保险卡盖好章送到签单点，并做领取记录，且所领取的保险单只能发给广西正泰代理保险有限公司使用，不允许发给任何单位和人个签单使用。由代办人员每月公布一次各公司的保费及市场占比报表；3、各产险公司按上月摩托车保费收入的13%作为管理费由二级公司于次月15日前汇入广西正泰代理保险有限责任公司指定帐户。《宜州补充协议》就统一代理、违约处罚、份额比例、费用结算、新公司如何分配等内容做了规定，主要内容包括：1、宜州市实行摩托车交强险统一由广西正泰保险代理有限责任公司签单，任何单位不能与摩托车经销商、交警等部门再进行委托代办；2、如发现公司另有签发摩托车保险单行为的，所收到的保费计入份额内，管理费照交，并将协议的市场份额比例扣减3个百分点，扣减时间为三个月；3、份额比例如下：人保财险宜州支公司33%、太保产险宜州支公司28%、安邦产险宜州营销服务部13%、平安产险宜州营销服务部13%、</w:t>
      </w:r>
      <w:r w:rsidRPr="004A7DC1">
        <w:rPr>
          <w:rFonts w:ascii="仿宋" w:eastAsia="仿宋" w:hAnsi="仿宋" w:hint="eastAsia"/>
          <w:sz w:val="32"/>
          <w:szCs w:val="32"/>
        </w:rPr>
        <w:lastRenderedPageBreak/>
        <w:t>大地产险宜州营销服务部6%、都邦产险宜州营销服务部6%；4、代办管理费逾期不交的，从下月起取消份额。5、有新的财产保险公司进入宜州市市场后，新公司的份额再进行协商解决。</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河池保协组织当事人都安县下属公司及相关保险企业在都安县达成了《都安县摩托车保险业务统一承保自律公约》（以下简称都安县自律公约）及《都安县摩托车保险业务统一承保委托代理协议》（以下简称都安代理协议）该协议得到执行。</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2013年3月初，河池保协在都安县组织都安各财产保险公司开会，会议讨论在都安县实施摩托车险统一设点、统一出单事宜并划分都安摩托车交强险市场各保险公司市场份额，当事人也派出都安营销点的负责人参会，会议现场未签订协议。2013年3月15日，河池保协在金城江组织当事人、中国人民财产保险股份有限公司河池市分公司、中国平安财产保险股份有限公司河池中心支公司、安邦财产保险股份有限公司河池中心支公司、华安财产保险股份有限公司河池中心支公司、广西正泰保险代理有限责任公司河池分公司等5家保险公司签订《都安县摩托车保险业务统一承保委托代理协议》，并于2013年3月15日组织上述公司签订《都安县摩托车保险业务统一承保自律公约》，同年4月11日，河池保协以河池保险行业协会文件下发通知要求各财产保险公</w:t>
      </w:r>
      <w:r w:rsidRPr="004A7DC1">
        <w:rPr>
          <w:rFonts w:ascii="仿宋" w:eastAsia="仿宋" w:hAnsi="仿宋" w:hint="eastAsia"/>
          <w:sz w:val="32"/>
          <w:szCs w:val="32"/>
        </w:rPr>
        <w:lastRenderedPageBreak/>
        <w:t>司执行。《都安代理协议》就统一代理、份额比例、费用来源与管理、新公司如何分配等内容做了规定，主要内容包括：1、都安县摩托车交强险由广西正泰保险代理有限责任公司河池分公司统一代理签单，发现公司另有签发摩托车保险单行为的，将按照每单2000元处罚。2、份额比例如下：人保30%、太保财34%、安邦13%、平安11%、华安12%。若占有统保分配比例的保险公司因自身原因暂时无法参与统保业务，可将其获得的份额比例与其他参与统保业务的保险公司进行协商自行分配，若发现把自有业务份额分配给未参与统保业务范围内的保险公司，则取消该公司统保资格。3、保险代理公司所出保单只能为签约单位提供的单证，如违约私自出单，将取消统一出单资格，并处以每单2000元处罚。4、代办管理费逾期不交的，从下月起取消份额。5、有新的财产保险公司进入都安县市场后，新公司的份额再进行协商解决。</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河池保协组织当事人大化县下属公司及相关保险企业在大化县达成了《大化县摩托车保险业务统一承保自律公约》（以下简称大化县自律公约）及《大化县摩托车保险业务统一承保委托代理协议》（以下简称大化代理协议）该协议得到执行。</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河池保协到大化县组织大化各财产保险公司开会，会议讨论在大化县实施摩托车险统一设点、统一出单事宜并划分</w:t>
      </w:r>
      <w:r w:rsidRPr="004A7DC1">
        <w:rPr>
          <w:rFonts w:ascii="仿宋" w:eastAsia="仿宋" w:hAnsi="仿宋" w:hint="eastAsia"/>
          <w:sz w:val="32"/>
          <w:szCs w:val="32"/>
        </w:rPr>
        <w:lastRenderedPageBreak/>
        <w:t>大化摩托车交强险市场各保险公司市场份额，当事人在大化的营销部也派出负责人参会，会议现场未签订协议。2013年3月29日，河池市保险行业协会在河池市组织当事人、中国人民财产保险股份有限公司河池市分公司、安邦财产保险股份有限公司河池中心支公司、华安财产保险股份有限公司河池中心支公司等4家保险公司签订《大化县摩托车保险业务统一承保委托代理协议》，并于2013年3月29日组织上述公司签订《大化县摩托车保险业务统一承保自律公约》，同年4月11日，河池市保险行业协会以河池保险行业协会文件下发通知要求各财产保险公司执行。《大化代理协议》就统一代理、份额比例、费用来源与管理、新公司如何分配等内容做了规定，主要内容包括：1、大化县摩托车交强险由广西明明白白保险销售有限公司河池分公司统一代理签单，发现公司另有签发摩托车保险单行为的，将按照每单2000元处罚。2、份额比例如下：人保40%、太保财26%、安邦17%、华安17%。若占有统保分配比例的保险公司因自身原因暂时无法参与统保业务，可将其获得的份额比例与其他参与统保业务的保险公司进行协商自行分配，若发现把自有业务份额分配给未参与统保业务范围内的保险公司，则取消该公司统保资格。3、保险代理公司所出保单只能为签约单位提供的单证，如违约私自出单，将取消统一出单资格，并处以每单2000元处罚。4、代办管理费逾期不交的，从下月起取消份</w:t>
      </w:r>
      <w:r w:rsidRPr="004A7DC1">
        <w:rPr>
          <w:rFonts w:ascii="仿宋" w:eastAsia="仿宋" w:hAnsi="仿宋" w:hint="eastAsia"/>
          <w:sz w:val="32"/>
          <w:szCs w:val="32"/>
        </w:rPr>
        <w:lastRenderedPageBreak/>
        <w:t>额。5、有新的财产保险公司进入大化县市场后，新公司的份额再进行协商解决。</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河池保协组织当事人巴马县下属公司及相关保险企业在巴马县达成了《巴马县摩托车保险业务统一承保自律公约》（以下简称巴马县自律公约）及《巴马县摩托车保险业务统一承保委托代理协议》（以下简称巴马代理协议）该协议得到执行。</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2013年3月初，河池保协在巴马县组织巴马各财产保险公司开会，会议讨论在巴马县实施摩托车险统一设点、统一出单事宜并划分巴马摩托车交强险市场各保险公司市场份额，会议现场未签订协议。2013年3月11日，河池保协在河池市组织当事人、中国人民财产保险股份有限公司河池市分公司、中国大地财产保险股份有限公司河池中心支公司、安邦财产保险股份有限公司河池中心支公司、华安财产保险股份有限公司河池中心支公司、广西明明白白保险销售服务有限公司河池分公司等6家公司签订《巴马县摩托车保险业务统一承保委托代理协议》，并于同日组织上述保险公司签订《巴马县摩托车保险业务统一承保自律公约》，同年3月27日，河池保协以河池保险行业协会文件下发通知要求各财产保险公司执行。《巴马代理协议》就统一代理、份额比例、费用来源与管理、新公司如何分配等内容做了规定，主要内容包括：1、巴马县摩托车交强险由广西明明白白保险销售</w:t>
      </w:r>
      <w:r w:rsidRPr="004A7DC1">
        <w:rPr>
          <w:rFonts w:ascii="仿宋" w:eastAsia="仿宋" w:hAnsi="仿宋" w:hint="eastAsia"/>
          <w:sz w:val="32"/>
          <w:szCs w:val="32"/>
        </w:rPr>
        <w:lastRenderedPageBreak/>
        <w:t>有限公司河池分公司统一代理签单，发现公司另有签发摩托车保险单行为的，将按照每单2000元处罚。2、份额比例如下：人保44%、太保21%、安邦16%、大地9%、华安10%。若占有统保分配比例的保险公司因自身原因暂时无法参与统保业务，可将其获得的份额比例与其他参与统保业务的保险公司进行协商自行分配，若发现把自有业务份额分配给未参与统保业务范围内的保险公司，则取消该公司统保资格。3、保险代理公司所出保单只能为签约单位提供的单证，如违约私自出单，将取消统一出单资格，并处以每单2000元处罚。4、代办管理费逾期不交的，从下月起取消份额。5、有新的财产保险公司进入巴马县市场后，新公司的份额再进行协商解决。</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当事人依据协议规定，在统一签单点安装出单系统后，随即安排专人与代理公司交接摩托车保险单、保险卡、核对保费收入，并按月支付代理手续费，当事人不再自主开展摩托车交强险业务。金城江区、宜州市、都安县的摩托车交强险统保业务由广西正泰保险代理有限公司河池分公司依据《金城江自律协议》、《宜州补充协议》、《都安代理协议》负责具体操作执行。大化县、巴马县由广西明明白白保险销售有限公司河池分公司（以下简称明明白白公司）依据《大化代理协议》、《巴马代理协议》负责具体操作执行，各保险公司不再自主销售摩托车交强险单。</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lastRenderedPageBreak/>
        <w:t>还查明，河池保险行业协会于2009年4月30日下发的关于取消《河池市金城江区摩托车保险业务自律协议》的通知（河保协〔2009〕11号），2014年3月10日下发关于取消《大化县摩托车保险业务统一承保自律公约》的通知（河保协〔2014〕6号），2014年3月11日下发关于取消《巴马县摩托车保险业务统一承保自律公约》的通知（河保协〔2014〕8号），2014年3月11日下发关于取消《都安县摩托车保险业务统一承保自律公约》的通知（河保协〔2014〕9号）。但在实际执行过程中，协会和各保险公司以及保险代理公司均承认仍按原协议规定的内容继续实行摩托车统保业务，并未停止。</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经统计，当事人2008年至2013年在金城江区、宜州市、都安县、大化县、巴马县等地统一出单点承保摩托车59026台，实现保险收入6,958,078元。其中，2013年承保摩托车22725台，保费收入2,695,178元。</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经查证，上述事实由以下证据证实：</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第一组证据：</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当事人的《营业执照》、《组织机构代码证》等证件的复印件，证明当事人的主体资格。</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第二组证据：</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1、本局对当事人及其相关负责人工作人进行调查制作的《询问笔录》9份。证实当事人在河池保协的组织下，签</w:t>
      </w:r>
      <w:r w:rsidRPr="004A7DC1">
        <w:rPr>
          <w:rFonts w:ascii="仿宋" w:eastAsia="仿宋" w:hAnsi="仿宋" w:hint="eastAsia"/>
          <w:sz w:val="32"/>
          <w:szCs w:val="32"/>
        </w:rPr>
        <w:lastRenderedPageBreak/>
        <w:t>订《金城江自律协议》、《宜州代理协议》、《宜州补充协议》、《都安代理协议》《都安公约》、《大化代理协议》、《大化公约》、《巴马代理协议》、《巴马公约》的背景、经过及在实际运行中依据上述协议规定严格执行的事实。</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2、对河池保协秘书长及其相关人员进行询问制作的《询问笔录》5份，证明当事人在河池保协组织协调下签订《金城江自律协议》、《宜州代理协议》、《宜州补充协议》、《都安代理协议》《都安公约》、《大化代理协议》、《大化公约》、《巴马代理协议》、《巴马公约》的事实。</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3、对另6家保险企业负责人进行调查制作的《询问笔录》10份，证明各保险企业在河池保协的组织协调下，签订《金城江自律协议》、《宜州代理协议》、《宜州补充协议》、《都安代理协议》《都安公约》、《大化代理协议》、《大化公约》、《巴马代理协议》、《巴马公约》与当事人签订的相关协议内容一致。</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4、对广西正泰保险代理有限责任公司河池分公司负责人制作的《询问笔录》1份，证实代理公司按照当事人的市场份额，在具体承保过程中实施份额调配的事实。</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5、对广西明明白白保险销售有限公司河池分公司负责人制作的《询问笔录》1份，证实代理公司按照当事人的市场份额，在具体承保过程中实施份额调配的事实。</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6、对协议外其它保险代理公司相关人员制作的《调查</w:t>
      </w:r>
      <w:r w:rsidRPr="004A7DC1">
        <w:rPr>
          <w:rFonts w:ascii="仿宋" w:eastAsia="仿宋" w:hAnsi="仿宋" w:hint="eastAsia"/>
          <w:sz w:val="32"/>
          <w:szCs w:val="32"/>
        </w:rPr>
        <w:lastRenderedPageBreak/>
        <w:t>笔录》。证明由于河池市实行统一出单后，其他有资质的保险代理公司不能开展摩托车保险代理业务的事实。</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第三组证据：</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1、本局向当事人调取的相关文件资料：《关于印发〈河池市金城江区摩托车摩托业务自律协议〉的通知》、《宜州市摩托车委托代理协议》、《宜州市摩托车委托代理补充协议》、《都安县摩托车保险业务统一承保委托代理协议》、《都安县摩托车保险业务统一承保自律公约》、《大化县摩托车保险业务统一承保委托代理协议》、《大化县摩托车保险业务统一承保自律公约》《巴马县摩托车保险业务统一承保委托代理协议》、《巴马县摩托车保险业务统一承保自律公约》证明当事人签订的协议中有划分摩托车保险市场份额的事实。</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 xml:space="preserve">2、本局向当事人调取的中介代理资料：《保险代理合同》、都邦保险河池中支有价单证发放登记表、机动车交通事故责任强制保险摩托车定额保险单（副本）、保险中介服务统一发票、河池市地方税务局通用机打发票复印件。证明当事人依据协议规定统一委托正泰公司代理摩托车保险业务，并支付相关费用的事实。 </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3、本局向河池保协调取的相关资料：2008年第二次车险委员会会议记录、河保协发〔2008〕26号报送《河池保险行业协会自律协议有关情况汇报》的报告、保监发〔2008〕111号关于做好机动车辆保险承保工作有关问题的通知、河</w:t>
      </w:r>
      <w:r w:rsidRPr="004A7DC1">
        <w:rPr>
          <w:rFonts w:ascii="仿宋" w:eastAsia="仿宋" w:hAnsi="仿宋" w:hint="eastAsia"/>
          <w:sz w:val="32"/>
          <w:szCs w:val="32"/>
        </w:rPr>
        <w:lastRenderedPageBreak/>
        <w:t>保协发〔2009〕7号关于印发河池保险行业机动车辆保险专业委员会第三次会议纪要的通知、河保协发〔2009〕11号关于取消《河池市金城江区摩托车保险业务自律协议》的通知、河保协报〔2013〕11号河池保险行业协会关于评估清理自律协议情况的报告。证明河池保协在明知相关协议内容违反《中华人民共和国反垄断法》的情况下，仍继续组织协调当事人达成《宜州代理协议》、《宜州补充协议》、《都安代理协议》《都安公约》、《大化代理协议》、《大化公约》、《巴马代理协议》、《巴马公约》的事实。</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4、本局收集的投保人及第三方的证据：向摩托车投保人收集的《调查表》；证明由于河池市实行统一出单后，对投保人投保增加不便的事实。</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 xml:space="preserve">第四组证据：   </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1、本局向当事人调取的会费支付凭证：关于2013年会费收取的通知、关于2014年会费收取的通知、广西壮族自治区社会团体会费统一收据、现金管理交易凭证、电子银行交易回单复印件，证明当事人加入河池保协并支付会员费的事实。</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2、本局向当事人调取的相关财务资料及相关报表。</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（1）当事人2008年至2013年摩托车保费收入统计表；</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（2）当事人2011年、2012年、2013年正泰代理手续费汇总表；</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lastRenderedPageBreak/>
        <w:t>（3）当事人2013年1月至12月正泰代理摩托车手续费清单。</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4）3、本局向河池保协收集的2012至2013年金城江区摩托车报表、2012年宜州摩托车报表打印件、2013年都安县、大化县、巴马县摩托车报表打印件。一是证明保险代理公司在河池保协的指导下，制定摩托车市场份额表，并以此为指导计划调控比例的事实。二是证明河池保协虽以明确下文取消带有垄断协议的《金城江自律协议》，但在实际操作中仍然以协议划定的份额继续执行的事实。</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（5）以上证据主要证明当事人上一年度（2013年）金城江区、宜州市、都安县、大化县、巴马县等地摩托车交强险保费收入为2,695,178元。</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中华人民共和国反垄断法》第十三条规定：禁止具有竞争关系的经营者达成下列垄断协议：（一）固定或者变更商品价格；（二）限制商品的生产数量或者销售数量；（三）分割销售市场或者原材料采购市场；（四）限制购买新技术、新设备或者限制开发新技术、新产品；（五）联合抵制交易；（六）国务院反垄断执法机构认定的其他垄断协议。本法所称垄断协议，是指排除、限制竞争的协议、决定或者其他协同行为。依据上述规定，我们认为垄断协议具有以下特征：其一，垄断协议实施的主体为两个或者两个以上的经营者；其二，垄断协议的表现形式，除书面形式外，还包括口头形</w:t>
      </w:r>
      <w:r w:rsidRPr="004A7DC1">
        <w:rPr>
          <w:rFonts w:ascii="仿宋" w:eastAsia="仿宋" w:hAnsi="仿宋" w:hint="eastAsia"/>
          <w:sz w:val="32"/>
          <w:szCs w:val="32"/>
        </w:rPr>
        <w:lastRenderedPageBreak/>
        <w:t>式以及协同一致的行为；其三，垄断协议具有排除、限制竞争的性质。</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本案当事人与本行业具有竞争关系的6家保险企业达成并实施的《金城江自律协议》、《宜州代理协议》、《宜州补充协议》、《都安代理协议》《都安公约》、《大化代理协议》、《大化公约》、《巴马代理协议》、《巴马公约》具有垄断协议的法律特征：第一，协议签约单位均为河池保险行业协会产险理事会成员单位，属于经营同种业务的独立经营者，相互之间在河池市区域内具有明显的竞争关系。第二，当事人在河池保协的组织协调下，与另6家保险企业签订了以划分摩托车市场份额为内容的书面协议即《金城江自律协议》、《宜州补充协议》、《都安代理协议》《都安公约》、《大化代理协议》、《大化公约》、《巴马代理协议》、《巴马公约》。第三，协议具有排除、限制竞争的性质，具体表现在以下方面：其一，协议规定由代理公司统一设点、统一代理签单，取消各保险企业的自主签单权。其二，协议明确了一系列措施，以保障“分割销售市场”执行：一是规定所有摩托车保险业务必须由代理公司办理保险手续，取消各保险企业的签单权；二是规定保险企业不能委托其他部门销售摩托车交强险；三是制定严格的处罚制度，以保障“分割销售市场”的执行。相关使原本具有竞争关系的7家保险企业结成利益联盟，对计划额度形成依赖，丧失参与竞争的动力和积极性，具有明显的</w:t>
      </w:r>
      <w:r w:rsidRPr="004A7DC1">
        <w:rPr>
          <w:rFonts w:ascii="仿宋" w:eastAsia="仿宋" w:hAnsi="仿宋" w:hint="eastAsia"/>
          <w:sz w:val="32"/>
          <w:szCs w:val="32"/>
        </w:rPr>
        <w:lastRenderedPageBreak/>
        <w:t>排除、限制摩托车保险市场竞争的法律特征。</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当事人在河池保协的组织协调下，签订的《金城江自律协议》、《宜州补充协议》、《都安代理协议》、《都安公约》、《大化代理协议》、《大化公约》、《巴马代理协议》、《巴马公约》，不仅限制摩托车保险市场的竞争，而且损害了的投保人等消费者的利益，社会影响大。其一，分割销售市场的行为破坏竞争秩序，影响经济运行效率。尽管划分市场份额有利于防止各保险企业采取非正常手段争揽业务，但是，这种做法会使业绩不好的企业依赖规定的份额，不积极参与竞争；另一方面，服务好的企业不能突破分配份额开拓市场，从而也严重损害企业的竞争力。其二，限制了投保人的选择权。协议实施期间，各保险企业统一停办摩托车保险业务，只能在指定的代理公司出单，限制了投保人的投保渠道，增加投保人不便。其三，损害了保险代理商的利益。其他保险代理商拥有从事摩托车保险业务的机会并从中获利，但协议实施期间，各保险企业统一停办了摩托车兼业代理业务。因此，《金城江自律协议》、《宜州补充协议》、《都安代理协议》、《都安公约》、《大化代理协议》、《大化公约》、《巴马代理协议》、《巴马公约》，属于《中华人民共和国反垄断法》第十三条第一款第（三）项所禁止的“分割销售市场”和《工商行政管理机关禁止垄断协议行为的规定》第五条第（一）项所禁止的“划分销售商品的数量”的垄断协议。依据《中华人民共和</w:t>
      </w:r>
      <w:r w:rsidRPr="004A7DC1">
        <w:rPr>
          <w:rFonts w:ascii="仿宋" w:eastAsia="仿宋" w:hAnsi="仿宋" w:hint="eastAsia"/>
          <w:sz w:val="32"/>
          <w:szCs w:val="32"/>
        </w:rPr>
        <w:lastRenderedPageBreak/>
        <w:t>国反垄断法》第四十六条第一款“经营者违法本法规定，达成并实施垄断协议的，由反垄断执法机构责令停止违法行为，没收违法所得，并处上一年度销售额百分之一以上百分之十以下的罚款；尚未实施所达成的垄断协议的，可处以五十万元以下的罚款”的规定和《工商行政管理机关禁止垄断协议行为的规定》第十条第三款“工商行政管理机关确定具体罚款数额时，应当考虑违法行为的性质、情节、程度、持续时间等因素”的规定。本局认为当事人的违法事实清楚，证据充分，已构成达成并实施垄断协议经营行为，应予处罚。</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2016年10月25日，本局向当事人送达了桂工商经检听字〔2016〕3号《行政处罚听证告知书》，告知当事人拟作出行政处罚的事实、理由、依据，并告知当事人依法享有的权利。当事人在规定的时间内，未提出听证申请，也未提出陈述、申辩意见。</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 xml:space="preserve">依据《中华人民共和国反垄断法》第四十六条第一款、《工商行政管理机关禁止垄断协议行为的规定》（国家工商行政管理总局令第53号）第十条第一款的规定，本局依法对当事人作出以下处罚决定：1、责令停止达成、实施分割销售市场的垄断协议行为；2、按中国太平洋财产保险股份有限公司河池中心支公司2013年摩托车交强险保费销售额（2,695,178元）的5%处以罚款，计人民币壹拾叁万肆仟柒佰陆拾元整（￥134,760.00）。上缴国库。 </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lastRenderedPageBreak/>
        <w:t>当事人应在收到本决定书之日起十五日内到中国建设银行五象广场支行（地址：南宁市青秀区金湖北路58号广西建设大厦，帐户：广西壮族自治区工商行政管理局，帐号：45001604663050500966）缴纳上述款项，逾期不缴纳，本局将依照《中华人民共和国行政处罚法》第五十一条之规定，采取下列措施：（一）每日按罚款数额的百分之三加处罚款；（二）申请人民法院强制执行。</w:t>
      </w:r>
    </w:p>
    <w:p w:rsidR="004A7DC1" w:rsidRPr="004A7DC1" w:rsidRDefault="004A7DC1" w:rsidP="004A7DC1">
      <w:pPr>
        <w:spacing w:line="480" w:lineRule="auto"/>
        <w:ind w:firstLineChars="200" w:firstLine="640"/>
        <w:rPr>
          <w:rFonts w:ascii="仿宋" w:eastAsia="仿宋" w:hAnsi="仿宋"/>
          <w:sz w:val="32"/>
          <w:szCs w:val="32"/>
        </w:rPr>
      </w:pPr>
      <w:r w:rsidRPr="004A7DC1">
        <w:rPr>
          <w:rFonts w:ascii="仿宋" w:eastAsia="仿宋" w:hAnsi="仿宋" w:hint="eastAsia"/>
          <w:sz w:val="32"/>
          <w:szCs w:val="32"/>
        </w:rPr>
        <w:t>当事人如不服本决定，可在接到本处罚决定书之日起六十日内，向国家工商行政管理总局或广西壮族自治区人民政府申请行政复议或在六个月内向南宁市青秀区人民法院提起行政诉讼。复议、诉讼期间，本处罚决定不停止执行。</w:t>
      </w:r>
      <w:r w:rsidRPr="004A7DC1">
        <w:rPr>
          <w:rFonts w:ascii="仿宋" w:eastAsia="仿宋" w:hAnsi="仿宋"/>
          <w:sz w:val="32"/>
          <w:szCs w:val="32"/>
        </w:rPr>
        <w:t xml:space="preserve"> </w:t>
      </w:r>
    </w:p>
    <w:p w:rsidR="004A7DC1" w:rsidRPr="004A7DC1" w:rsidRDefault="004A7DC1" w:rsidP="00E004F0">
      <w:pPr>
        <w:spacing w:line="480" w:lineRule="auto"/>
        <w:jc w:val="right"/>
        <w:rPr>
          <w:rFonts w:ascii="仿宋" w:eastAsia="仿宋" w:hAnsi="仿宋"/>
          <w:sz w:val="32"/>
          <w:szCs w:val="32"/>
        </w:rPr>
      </w:pPr>
      <w:r w:rsidRPr="004A7DC1">
        <w:rPr>
          <w:rFonts w:ascii="仿宋" w:eastAsia="仿宋" w:hAnsi="仿宋" w:hint="eastAsia"/>
          <w:sz w:val="32"/>
          <w:szCs w:val="32"/>
        </w:rPr>
        <w:t>广西壮族自治区工商行政管理局</w:t>
      </w:r>
    </w:p>
    <w:p w:rsidR="00517D05" w:rsidRPr="004A7DC1" w:rsidRDefault="004A7DC1" w:rsidP="00E004F0">
      <w:pPr>
        <w:wordWrap w:val="0"/>
        <w:spacing w:line="480" w:lineRule="auto"/>
        <w:jc w:val="right"/>
        <w:rPr>
          <w:rFonts w:ascii="仿宋" w:eastAsia="仿宋" w:hAnsi="仿宋"/>
          <w:sz w:val="32"/>
          <w:szCs w:val="32"/>
        </w:rPr>
      </w:pPr>
      <w:r w:rsidRPr="004A7DC1">
        <w:rPr>
          <w:rFonts w:ascii="仿宋" w:eastAsia="仿宋" w:hAnsi="仿宋" w:hint="eastAsia"/>
          <w:sz w:val="32"/>
          <w:szCs w:val="32"/>
        </w:rPr>
        <w:t>2017年3月20日</w:t>
      </w:r>
      <w:r w:rsidR="00E004F0">
        <w:rPr>
          <w:rFonts w:ascii="仿宋" w:eastAsia="仿宋" w:hAnsi="仿宋" w:hint="eastAsia"/>
          <w:sz w:val="32"/>
          <w:szCs w:val="32"/>
        </w:rPr>
        <w:t xml:space="preserve">      </w:t>
      </w:r>
    </w:p>
    <w:sectPr w:rsidR="00517D05" w:rsidRPr="004A7DC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25C"/>
    <w:rsid w:val="003874BE"/>
    <w:rsid w:val="004A7DC1"/>
    <w:rsid w:val="00517D05"/>
    <w:rsid w:val="006E625C"/>
    <w:rsid w:val="008243C1"/>
    <w:rsid w:val="00E004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18</Pages>
  <Words>1434</Words>
  <Characters>8175</Characters>
  <Application>Microsoft Office Word</Application>
  <DocSecurity>0</DocSecurity>
  <Lines>68</Lines>
  <Paragraphs>19</Paragraphs>
  <ScaleCrop>false</ScaleCrop>
  <Company>Microsoft</Company>
  <LinksUpToDate>false</LinksUpToDate>
  <CharactersWithSpaces>9590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009</dc:creator>
  <cp:keywords/>
  <dc:description/>
  <cp:lastModifiedBy>009</cp:lastModifiedBy>
  <cp:revision>5</cp:revision>
  <dcterms:created xsi:type="dcterms:W3CDTF">2017-04-13T02:58:00Z</dcterms:created>
  <dcterms:modified xsi:type="dcterms:W3CDTF">2017-04-13T09:06:00Z</dcterms:modified>
</cp:coreProperties>
</file>