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F2" w:rsidRPr="00B47231" w:rsidRDefault="009648F2" w:rsidP="00B47231">
      <w:pPr>
        <w:spacing w:line="480" w:lineRule="auto"/>
        <w:jc w:val="center"/>
        <w:rPr>
          <w:rFonts w:ascii="仿宋" w:eastAsia="仿宋" w:hAnsi="仿宋" w:hint="eastAsia"/>
          <w:b/>
          <w:sz w:val="52"/>
          <w:szCs w:val="32"/>
        </w:rPr>
      </w:pPr>
      <w:r w:rsidRPr="00B47231">
        <w:rPr>
          <w:rFonts w:ascii="仿宋" w:eastAsia="仿宋" w:hAnsi="仿宋" w:hint="eastAsia"/>
          <w:b/>
          <w:sz w:val="52"/>
          <w:szCs w:val="32"/>
        </w:rPr>
        <w:t>广西壮族自治区工商行政管理局</w:t>
      </w:r>
    </w:p>
    <w:p w:rsidR="009648F2" w:rsidRPr="00B47231" w:rsidRDefault="009648F2" w:rsidP="00B47231">
      <w:pPr>
        <w:spacing w:line="480" w:lineRule="auto"/>
        <w:jc w:val="center"/>
        <w:rPr>
          <w:rFonts w:ascii="仿宋" w:eastAsia="仿宋" w:hAnsi="仿宋" w:hint="eastAsia"/>
          <w:b/>
          <w:sz w:val="52"/>
          <w:szCs w:val="32"/>
        </w:rPr>
      </w:pPr>
      <w:r w:rsidRPr="00B47231">
        <w:rPr>
          <w:rFonts w:ascii="仿宋" w:eastAsia="仿宋" w:hAnsi="仿宋" w:hint="eastAsia"/>
          <w:b/>
          <w:sz w:val="52"/>
          <w:szCs w:val="32"/>
        </w:rPr>
        <w:t>行 政 处 罚 决 定 书</w:t>
      </w:r>
    </w:p>
    <w:p w:rsidR="009648F2" w:rsidRPr="00B47231" w:rsidRDefault="009648F2" w:rsidP="00CA0214">
      <w:pPr>
        <w:pBdr>
          <w:bottom w:val="single" w:sz="4" w:space="1" w:color="auto"/>
        </w:pBdr>
        <w:spacing w:line="480" w:lineRule="auto"/>
        <w:jc w:val="center"/>
        <w:rPr>
          <w:rFonts w:ascii="仿宋" w:eastAsia="仿宋" w:hAnsi="仿宋"/>
          <w:sz w:val="32"/>
          <w:szCs w:val="32"/>
        </w:rPr>
      </w:pPr>
      <w:r w:rsidRPr="00B47231">
        <w:rPr>
          <w:rFonts w:ascii="仿宋" w:eastAsia="仿宋" w:hAnsi="仿宋" w:hint="eastAsia"/>
          <w:sz w:val="32"/>
          <w:szCs w:val="32"/>
        </w:rPr>
        <w:t>桂工商经处字〔2017〕4号</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当事人：华安财产保险股份有限公司河池中心支公司</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营业执照号码：（分）451200000007999（1-1）</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住  所：河池市西环路107号</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负责人：梁新华</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 xml:space="preserve">经营范围：企业财产损失保险；家庭财产损失保险 ；建筑工程保险；安装工程保险；货物运输保险；机动车辆保险；船舶的保险；能源保险；一般责任保险；保证保险；信用保险（出口信用险除外）；短期健康保险；意外伤害保险；经国家保监会批准的其他财产保险业务。※（凡涉及许可证的项目凭证许可证在有效期限内经营）     </w:t>
      </w:r>
    </w:p>
    <w:p w:rsidR="009648F2" w:rsidRPr="00B47231" w:rsidRDefault="009648F2" w:rsidP="00B47231">
      <w:pPr>
        <w:spacing w:line="480" w:lineRule="auto"/>
        <w:ind w:firstLineChars="200" w:firstLine="640"/>
        <w:rPr>
          <w:rFonts w:ascii="仿宋" w:eastAsia="仿宋" w:hAnsi="仿宋"/>
          <w:sz w:val="32"/>
          <w:szCs w:val="32"/>
        </w:rPr>
      </w:pPr>
      <w:r w:rsidRPr="00B47231">
        <w:rPr>
          <w:rFonts w:ascii="仿宋" w:eastAsia="仿宋" w:hAnsi="仿宋" w:hint="eastAsia"/>
          <w:sz w:val="32"/>
          <w:szCs w:val="32"/>
        </w:rPr>
        <w:t xml:space="preserve">2013年12月19日，由国家工商行政管理总局授权本局，对河池市保险行业涉嫌垄断行为予以立案调查。经本局领导批准，对河池保险行业协会组织及相关的保险企业达成、实施垄断协议一案进行立案调查。经调查，河池保险行业协会组织当事人与河池市相关的保险企业签订《摩托车保险业务自律协议》（以下简称《自律协议》），组织达成实施垄断协议，涉嫌违反了《中华人民共和国反垄断法》的相关规定。                                                                       </w:t>
      </w:r>
      <w:r w:rsidRPr="00B47231">
        <w:rPr>
          <w:rFonts w:ascii="仿宋" w:eastAsia="仿宋" w:hAnsi="仿宋"/>
          <w:sz w:val="32"/>
          <w:szCs w:val="32"/>
        </w:rPr>
        <w:t xml:space="preserve">                                                                  </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经查明，2008年7月，河池保险行业协会以规范市场经</w:t>
      </w:r>
      <w:r w:rsidRPr="00B47231">
        <w:rPr>
          <w:rFonts w:ascii="仿宋" w:eastAsia="仿宋" w:hAnsi="仿宋" w:hint="eastAsia"/>
          <w:sz w:val="32"/>
          <w:szCs w:val="32"/>
        </w:rPr>
        <w:lastRenderedPageBreak/>
        <w:t>营，防止恶性竞争为由，组织当事人与中国人民财产保险股份有限公司河池市分公司（以下称人保财险河池分公司）、中国太平洋财产保险股份有限公司河池中心支公司（以下称太平洋财险河池中支公司）、中国平安财产保险股份有限公司河池中心支公司（以下称平安财险河池中支公司）、安邦财产保险股份有限公司河池中心支公司（以下称安邦财险河池中支公司）、都邦财产保险股份有限公司河池中心支公司（以下称都邦财险河池中支公司）、中国大地财产保险股份有限公司河池中心支公司（以下称大地财险宜州支公司）等7家保险公司召开会议。商议上述各家保险公司在河池市金城江区开展销售两轮摩托车交强险业务的相关事宜。2008年7月23日，河池保险行业协会向上述各家保险公司印发了河保协发〔2008〕19号《河池市金城江区摩托车保险业务自律协议》文件，该自律协议在委托保险代理公司、市场份额、操作规程、业务费用、违约责任方面做了如下规定：</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1、取消以上各家保险公司在河池市金城江区范围内自主出单摩托车交强险业务，委托正泰公司，实行摩托车交强险业务统一设点、统一签单。</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2、摩托车交强险份额：人保财险27%、太平洋财险25%、安邦财险9%、平安财险9%、大地财险12%、都邦财险9%、华安财险9%。</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3、各保险公司按上月摩托车交强险收入的10%作为业务</w:t>
      </w:r>
      <w:r w:rsidRPr="00B47231">
        <w:rPr>
          <w:rFonts w:ascii="仿宋" w:eastAsia="仿宋" w:hAnsi="仿宋" w:hint="eastAsia"/>
          <w:sz w:val="32"/>
          <w:szCs w:val="32"/>
        </w:rPr>
        <w:lastRenderedPageBreak/>
        <w:t>费存入保险协会指定的账户。</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4、实行统保后，如发现各签约的保险公司私自设点签单摩托车交强险的，每个代理点缴纳违约金5000元。签约保险公司私自签发摩托车保险单的，每辆车缴纳违约金2000元。</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2009年12月，河池保险行业协会以净化宜州市摩托车保险市场环境、维护公平竞争的市场秩序、降低成本为由，在事先和各财险河池中支公司沟通的情况下，组织中国人民财产保险股份有限公司宜州市支公司（以下称人保财险宜州支公司）、中国太平洋财产保险股份有限公司宜州支公司（以下称太平洋财险宜州支公司）、中国大地财产保险股份有限公司宜州市支公司（以下称大地财险宜州支公司）、中国平安财产保险股份有限公司宜州营销服务部（以下称平安财险宜州营销服务部）、安邦财产保险股份有限公司宜州营销服务部（以下称安邦财险宜州营销服务部）、都邦财产保险股份有限公司宜州营销服务部（以下称都邦财险宜州营销服务部）以及广西正泰保险有限责任公司等七家公司召开会议，商讨各公司市场份额的分配问题。最终经过讨论，达成共识。由河池保险行业协会草拟《宜州市摩托车交强险委托代理协议》和《宜州市摩托车交强险委托代理补充协议》于2012年12月中旬交由协议框架内各家财险公司河池中支公司、正泰公司负责人及宜州分公司、营销服务部负责人签字。</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lastRenderedPageBreak/>
        <w:t>代理协议及补充协议内容大致如下：</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1、宜州市辖区范围内摩托车交强险销售业务由正泰公司组织人员统一设点、统一代理签订。取消各财产保险公司在宜州辖区自主签单权（含本公司员工自己的摩托车都必须到统一签单点办理投保手续）。</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2、各财险公司按上月摩托车保险费收入的13%作为管理费由二级公司于次月15日前汇入正泰公司制定账户。</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3、实行统保后，任何保险公司不能与摩托车经销商、交警等部门再进行委托代办；本公司不允许再签发摩托车保单，如有违反，所收到保费计入份额内，管理费照交，并将市场份额比例扣减3个百分点，扣减时间为3个月。</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4、份额比例：人保财险宜州市支公司33%、太平洋财险宜州支公司28%、平安财险宜州营销服务部13%、安邦财险宜州营销服务部13%、大地财险宜州营销服务部6%、都邦财险宜州营销服务部6%。</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5、如有新财险公司进入宜州市场，该公司的市场份额再由协议财险公司协商解决。</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华安财险宜州支公司于2012年10月30日成立后，当事人即向河池保险行业协会提出申请，要求加入《宜州市摩托车委托代理协议》。河池保险行业协会出面组织协调相关保险公司，口头答复当事人：从各原协议财险公司抽出一部分份额给华安财险公司宜州支公司，市场份额确定为13%，</w:t>
      </w:r>
      <w:r w:rsidRPr="00B47231">
        <w:rPr>
          <w:rFonts w:ascii="仿宋" w:eastAsia="仿宋" w:hAnsi="仿宋" w:hint="eastAsia"/>
          <w:sz w:val="32"/>
          <w:szCs w:val="32"/>
        </w:rPr>
        <w:lastRenderedPageBreak/>
        <w:t>2013年5月正式加入协议。</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三）2013年3月，河池保险行业协会以保护消费者利益，规范都安摩托车保险市场秩序，防范化解经营风险为由，组织中国人民财产保险股份有限公司都安支公司（以下称人保财险都安公司）、中国太平洋财产保险股份有限公司都安支公司（以下称太平洋财险都安公司）、中国平安财产保险股份有限公司都安营销服务部（以下称平安财险都安营销服务部）、安邦财产保险股份有限公司都安营销服务部（以下称安邦财险都安营销服务部）、华安财产保险股份有限公司都安支公司（以下称华安财险都安支公司）召开会议，商讨并签署《都安县摩托车保险业务统一承保自律公约》及《都安县摩托车保险业务统一承保委托代理协议》。自律公约及协议内容大致如下：</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1、按照规定向河池保险行业协会报备设立的都安县远程出单点，在具有一定的产险业务量基础上并长期配备有通过广西保险行业协会车险理赔查勘定损人员资格认证考试的查看定损员后，可以向河池保险行业协会申请加入都安县摩托车保险业务统保，其他任何未经河池保险行业协会同意并在都安市私自开展摩托车保险业务的行为，将视为违约与挑衅，河池保险行业协会将会同相关部门严厉打击”。</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2、违反经营扰乱都安摩托车保险业务市场的，每单按2000元进行处罚，暂不设上限。</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lastRenderedPageBreak/>
        <w:t>3、都安县辖区范围内摩托车交强险销售业务由正泰公司组织人员统一设点、统一代理签订。取消各保险公司在都安辖区自主签单权。</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4、都安县有资格参与摩托车保险业务统一出单的机构有：人保财险都安支公司、太平洋财险都安支公司、平安财险都安营销服务部、安邦财险都安营销服务部、华安财险都安支公司。</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5、份额比例如下：</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人保财险都安支公司30%、太平洋财险都安支公司34%、平安财险都安营销服务部11%、安邦财险都安营销服务部13%、华安财险都安支公司12%。</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四）2013年3月，河池保险行业协会又召集中国人民财产保险股份有限公司大化支公司（以下称人保财险大化公司）、中国太平洋财产保险股份有限公司大化营销服务部（以下称太平洋财险大化营销服务部）、安邦财产保险股份有限公司大化营销服务部（以下称安邦财险大化营销服务部）、华安财产保险股份有限公司大化远程出单点（以下称华安财险大化出单点）等就四家公司开会并签署《大化县摩托车保险业务统一承保自律公约》及《大化县摩托车保险业务统一承保委托代理协议》。自律公约及协议内容大致如下：</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1、按照规定向河池保险行业协会报备设立的大化县远程出单点，在具有一定的产险业务量基础上并长期配备有通</w:t>
      </w:r>
      <w:r w:rsidRPr="00B47231">
        <w:rPr>
          <w:rFonts w:ascii="仿宋" w:eastAsia="仿宋" w:hAnsi="仿宋" w:hint="eastAsia"/>
          <w:sz w:val="32"/>
          <w:szCs w:val="32"/>
        </w:rPr>
        <w:lastRenderedPageBreak/>
        <w:t>过广西保险行业协会车险理赔查勘定损人员资格认证考试的查看定损员后，可以向河池保险行业协会申请加入大化县摩托车保险业务统保，其他任何未经河池保险行业协会同意并在大化县私自开展摩托车保险业务的行为，将视为违约与挑衅，河池保险行业协会将会同相关部门严厉打击”。</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2、违反经营扰乱大化县摩托车保险业务市场的，每单按2000元进行处罚，暂不设上限。</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3、大化县辖区范围内摩托车交强险销售业务由广西明明白白保险销售服务有限公司（以下称明明白白公司）组织人员统一设点、统一代理签订。取消各保险公司在大化辖区自主签单权。</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4、大化县有资格参与摩托车保险业务统一出单的机构有：人保财险大化支公司、太平洋财险大化营销部、安邦财险大化营销服务部、华安财险大化远程出单点。</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5、份额比例如下：</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人保财险大化支公司40%、太平洋财险大化营销部26%、安邦财险大化营销服务部17%、华安财险大化远程出单点17%。</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五）2013年3月，河池保险行业协会又召集中国人民财产保险股份有限公司巴马支公司（以下称人保财险巴马公司）、中国太平洋财产保险股份有限公司巴马保险咨询服务点（以下称太平洋财险巴马服务点）、中国大地财产保险股份有限公司巴马保险咨询服务点（大地财险巴马服务点）、</w:t>
      </w:r>
      <w:r w:rsidRPr="00B47231">
        <w:rPr>
          <w:rFonts w:ascii="仿宋" w:eastAsia="仿宋" w:hAnsi="仿宋" w:hint="eastAsia"/>
          <w:sz w:val="32"/>
          <w:szCs w:val="32"/>
        </w:rPr>
        <w:lastRenderedPageBreak/>
        <w:t>安邦财产保险股份有限公司巴马营销服务部（以下称安邦财险巴马营销服务部）、华安财产保险股份有限公司巴马远程服务点（以下称华安财险巴马服务点）等就五家公司开会并签署《巴马县摩托车保险业务统一承保自律公约》及《巴马县摩托车保险业务统一承保委托代理协议》。自律公约及协议内容大致如下：</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1、按照规定向河池保险行业协会报备设立的巴马县远程出单点，在具有一定的产险业务量基础上并长期配备有通过广西保险行业协会车险理赔查勘定损人员资格认证考试的查看定损员后，可以向河池保险行业协会申请加入巴马县摩托车保险业务统保，其他任何未经河池保险行业协会同意并在巴马县私自开展摩托车保险业务的行为，将视为违约与挑衅，河池保险行业协会将会同相关部门严厉打击”。</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2、违反经营扰乱巴马县摩托车保险业务市场的，每单按2000元进行处罚，暂不设上限。</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3、巴马县辖区范围内摩托车交强险销售业务由明明白白公司组织人员统一设点、统一代理签订。取消各保险公司在巴马辖区自主签单权。</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4、巴马县有资格参与摩托车保险业务统一出单的机构有：人保财险巴马支公司、太平洋财险巴马保险咨询服务点、大地财险巴马服务点、安邦财险巴马营销服务部、华安财险巴马服务点。</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lastRenderedPageBreak/>
        <w:t>5、份额比例如下：</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人保财险大化支公司44%、太平洋财险巴马保险咨询服务点21%、大地财险巴马服务点9%、安邦财险巴马营销服务部16%、华安财险巴马服务点10%。</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以上事实，有经办人提取的书面证据、当事人及相关人员的陈述、当事人及相关人员的说明材料等证据为证。</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 xml:space="preserve">   以上事实证据如下：                                                   </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一）华安财险河池中支公司、华安财险宜州支公司、华安财险公司都安支公司《企业法人营业执照》、华安保险大化咨询服务点、华安保险巴马咨询服务点备案表复印件；华安财险河池中支公司、华安财险宜州支公司、华安财险都安支公司经营保险业务许可证；华安财险河池中支公司、华安财险宜州支公司、华安财险都安支公司组织机构代码证复印件；华安财险河池中支公司总经理梁某、华安财险河池中支公司计财部经理朱某、华安财险河池中支公司承保部经理韦某、华安财险宜州支公司负责人韦某、华安财险宜州支公司出单员邱某、华安财险都安支公司经理卢某、华安财险大化远程出单点负责人覃某、华安财险巴马服务点出单员曾某、华安财险巴马服务点查勘员黄某身份证复印件，中国华安财产保险股份有限公司河池中心支公司总经理梁某任职文件，证明当事人的主体资格。</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 xml:space="preserve">（二）河池市工商局证明当事人的主体资格。                           </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lastRenderedPageBreak/>
        <w:t>（三）华安财险河池中支公司法定代表人梁某询问笔录3份；华安财险河池中支公司计划财务部经理朱某询问笔录1份；华安财险河池中支公司承保部经理韦某询问笔录1份；华安财险宜州支公司负责人韦某询问笔录1份，华安财险宜州支公司出单员邱某询问笔录1份；华安财险都安支公司经理卢某询问笔录2份；华安财险大化远程出单点负责人覃某先询问笔录1份；华安财险巴马服务点出单员曾某询问笔录1份，华安财险巴马服务点查勘员黄某询问笔录1份。证明华安财险河池中支公司及所属宜州、都安支公司委托正泰公司，大化远程出单点、巴马服务点委托明明白白公司统一签单摩托车交强险销售行为的时间、经过及基本事实。</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四）时任河池保险行业协会秘书长黄某询问笔录1份；现任河池保险行业协会秘书长韦某询问笔录1份；河池保险行业协会市场管理部副主任赵某询问笔录1份；正泰河池公司总经理韦某询问笔录1份；明明白白河池公司经理李某询问笔录1份。证明当事人在河池保险行业协会的组织下，委托正泰公司、明明白白公司统一设点、统一出单销售摩托车交强险事实的时间和经过。</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五）人保财险河池分公司总经理曾某询问笔录1份，人保财险河池分公司副总经理冯某询问笔录1份；太平洋财险河池中支公司总经理韦某询问笔录1份，太平洋财险河池中支公司副总经理覃某询问笔录1份，太平洋财险河池中支</w:t>
      </w:r>
      <w:r w:rsidRPr="00B47231">
        <w:rPr>
          <w:rFonts w:ascii="仿宋" w:eastAsia="仿宋" w:hAnsi="仿宋" w:hint="eastAsia"/>
          <w:sz w:val="32"/>
          <w:szCs w:val="32"/>
        </w:rPr>
        <w:lastRenderedPageBreak/>
        <w:t>公司副总经理林某询问笔录1份；平安财险河池中支公司负责人朱某询问笔录1份；安邦财险河池中支总经理韦某询问笔录1份；大地财险河池中支公司总经理凌某询问笔录1份；都邦财险河池中支公司总经理方某询问笔录1份。佐证在河池保险行业协会的组织下，当事人与以上相关财险公司委托正泰公司、明明白白公司统一设点、统一出单销售摩托车交强险事实的的时间和经过。</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（五）由当事人提供与正泰河池分公司、明明白白河池分公司签署的保险代理合同复印件。证明正泰公司、明明白白公司受委托代理销售华安财险河池中支公司摩托车交强险的事实。</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 xml:space="preserve">（六）由当事人提供的河池保险行业协会文件（河池保险行业协会发〔2008〕19号），关于《河池市金城江区摩托车保险业务统自律公约》、《关于确定河池市金城江区车辆分配比例的通知》、《宜州市摩托车保险业务统一承保自律公约》《宜州市摩托车委托代理协议》和《宜州市摩托车委托代理补充协议》、《都安县摩托车保险业务统一承保自律公约》、《大化县摩托车保险业务统一承保自律公约》、《巴马县摩托车保险业务统一承保自律公约》，证明当事人在河池保险行业协会的组织下，会同相关财险公司委托正泰公司、明明白白公司统一设点、统一出单销售金城江区、宜州市、都安县、大化县、巴马县辖区内摩托车交强险的事实。 </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lastRenderedPageBreak/>
        <w:t>（七）由当事人提供的2013年度该公司河池本部、宜州、都安、大化、巴马销售摩托车交强险数据统计表。经核实， 2013年度当事人通过正泰公司和明明白白公司共销售摩托车交强险保费合计1,319,560元。</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（八）由当事人提供的2013年度，该公司与正泰公司、明明白白保险代理公司支付产险手续费的统计表。经核实， 2013年度当事人分别向正泰公司和明明白白公司支付代理手续费33,800元和20,160元。</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（九）由当事人提供的2013年度该公司向正泰公司支付产险手续费的转账凭证复印件。</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（十）由当事人提供的2013年5月至12月该公司向明明白白公司支付产险手续费的转账凭证复印件。</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十一）宜州市华谊汽车服务有限责任公司负责人周某询问笔录复印件1份；宜州市东盛机动车检测有限公司负责人蒋某询问笔录复印件1份；北部湾财产保险股份有限公司河池分公司渠道部客户经理潘某询问笔录复印件1份；广西一通保险代理有限公司河池分公司负责人蒙某询问笔录复印件1份；宜州市交警大队大队长罗某有关购买摩托车强制保险情况调查表复印件1份；针对投保人开展的购买摩托车交强险情况调查表复印件20份。证明由于河池市部分市、县、区实行摩托车交强险统一设点、统一出单制度后，对投保人自主选择以及其他有资质的保险代理公司不能自主开</w:t>
      </w:r>
      <w:r w:rsidRPr="00B47231">
        <w:rPr>
          <w:rFonts w:ascii="仿宋" w:eastAsia="仿宋" w:hAnsi="仿宋" w:hint="eastAsia"/>
          <w:sz w:val="32"/>
          <w:szCs w:val="32"/>
        </w:rPr>
        <w:lastRenderedPageBreak/>
        <w:t xml:space="preserve">展摩托车保险业务负面影响的事实。                                                                                                                        </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当事人在河池保险行业协会的组织下，与具有竞争关系的人保财险河池分公司、中国太平洋财险河池中支公司、平安财险河池中支公司、安邦财险河池中支公司、都邦财险河池中支公司、大地财险宜州支公司等七家保险公司召开会议。经协商，最终共同签署《河池市金城江区摩托车保险业务自律协议》、《宜州市摩托车保险业务统一承保自律公约》、《宜州市摩托车委托代理协议》和《宜州市摩托车委托代理补充协议》、《都安县摩托车保险业务统一承保自律公约》、《大化县摩托车保险业务统一承保自律公约》、《巴马县摩托车保险业务统一承保自律公约》。此行为对协议以外的保险公司和保险代理公司以及投保人造成具有排除、限制竞争性质的影响。经统计，当事人2013年承保摩托车10996台，摩托车交强险保费收入1,319,560元。</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综上所述，当事人的行为具有垄断协议的法律特征。其行为违反了《中华人民共和国反垄断法》第十三条第一款第三项规定，禁止具有竞争关系的经营者达成垄断协议分割销售市场或者原材料采购市场，构成垄断经营行为。</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当事人在河池保险行业协会的组织协调下，签订的《金城江自律协议》、《宜州补充协议》、《都安代理协议》、《都安公约》、《大化代理协议》、《大化公约》、《巴马代理协议》、《巴马公约》，不仅限制摩托车保险市场的竞争，而且损害了的</w:t>
      </w:r>
      <w:r w:rsidRPr="00B47231">
        <w:rPr>
          <w:rFonts w:ascii="仿宋" w:eastAsia="仿宋" w:hAnsi="仿宋" w:hint="eastAsia"/>
          <w:sz w:val="32"/>
          <w:szCs w:val="32"/>
        </w:rPr>
        <w:lastRenderedPageBreak/>
        <w:t>投保人等消费者的利益，社会影响大。其一，分割销售市场的行为破坏竞争秩序，影响经济运行效率。尽管划分市场份额有利于防止各保险企业采取非正常手段争揽业务，但是，这种做法会使业绩不好的企业依赖规定的份额，不积极参与竞争；另一方面，服务好的企业不能突破分配份额开拓市场，从而也严重损害企业的竞争力。其二，限制了投保人的选择权。协议实施期间，各保险企业统一停办摩托车保险业务，只能在指定的代理公司出单，限制了投保人的投保渠道，增加投保人不便。其三，损害了保险代理商的利益。其他保险代理商拥有从事摩托车保险业务的机会并从中获利，但协议实施期间，各保险企业统一停办了摩托车兼业代理业务。因此，《金城江自律协议》、《宜州补充协议》、《都安代理协议》、《都安公约》、《大化代理协议》、《大化公约》、《巴马代理协议》、《巴马公约》，属于《中华人民共和国反垄断法》第十三条第一款第（三）项所禁止的“分割销售市场”和《工商行政管理机关禁止垄断协议行为的规定》第五条第（一）项所禁止的“划分销售商品的数量”的垄断协议。依据《中华人民共和国反垄断法》第四十六条第一款“经营者违法本法规定，达成并实施垄断协议的，由反垄断执法机构责令停止违法行为，没收违法所得，并处上一年度销售额百分之一以上百分之十以下的罚款；尚未实施所达成的垄断协议的，可处以五十万元以下的罚款”的规定和《工商行政管理机关禁</w:t>
      </w:r>
      <w:r w:rsidRPr="00B47231">
        <w:rPr>
          <w:rFonts w:ascii="仿宋" w:eastAsia="仿宋" w:hAnsi="仿宋" w:hint="eastAsia"/>
          <w:sz w:val="32"/>
          <w:szCs w:val="32"/>
        </w:rPr>
        <w:lastRenderedPageBreak/>
        <w:t>止垄断协议行为的规定》第十条第三款“工商行政管理机关确定具体罚款数额时，应当考虑违法行为的性质、情节、程度、持续时间等因素”的规定。本局认为当事人的违法事实清楚，证据充分，已构成达成并实施垄断协议经营行为，应予处罚。</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2016年10月25日，本局向当事人送达了桂工商经检听字〔2016〕4号《行政处罚听证告知书》，告知当事人拟作出行政处罚的事实、理由、依据，并告知当事人依法享有的权利。当事人在规定的时间内，未提出听证申请，也未提出陈述、申辩意见。</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依据《中华人民共和国反垄断法》第四十六条第一款、《工商行政管理机关禁止垄断协议行为的规定》（国家工商行政管理总局令第53号）第十条第一款的规定，本局对当事人作出以下处罚决定：</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1、责令停止达成、实施分割销售市场的垄断协议行为；</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 xml:space="preserve">2、按华安财产保险股份有限公司河池中心支公司2013年摩托车交强险保费销售额（1,319,560元）的5%处以罚款，计人民币陆万陆仟元整（￥66000.00元）。上缴国库。 </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当事人应在收到本决定书之日起十五日内到中国建设银行五象广场支行（地址：南宁市青秀区金湖北路58号广西建设大厦，帐户：广西壮族自治区工商行政管理局，帐号：45001604663050500966）缴纳上述款项，逾期不缴纳，本局</w:t>
      </w:r>
      <w:r w:rsidRPr="00B47231">
        <w:rPr>
          <w:rFonts w:ascii="仿宋" w:eastAsia="仿宋" w:hAnsi="仿宋" w:hint="eastAsia"/>
          <w:sz w:val="32"/>
          <w:szCs w:val="32"/>
        </w:rPr>
        <w:lastRenderedPageBreak/>
        <w:t>将依照《中华人民共和国行政处罚法》第五十一条之规定，采取下列措施：（一）每日按罚款数额的百分之三加处罚款；（二）申请人民法院强制执行。</w:t>
      </w:r>
    </w:p>
    <w:p w:rsidR="009648F2" w:rsidRPr="00B47231" w:rsidRDefault="009648F2" w:rsidP="00B47231">
      <w:pPr>
        <w:spacing w:line="480" w:lineRule="auto"/>
        <w:ind w:firstLineChars="200" w:firstLine="640"/>
        <w:rPr>
          <w:rFonts w:ascii="仿宋" w:eastAsia="仿宋" w:hAnsi="仿宋" w:hint="eastAsia"/>
          <w:sz w:val="32"/>
          <w:szCs w:val="32"/>
        </w:rPr>
      </w:pPr>
      <w:r w:rsidRPr="00B47231">
        <w:rPr>
          <w:rFonts w:ascii="仿宋" w:eastAsia="仿宋" w:hAnsi="仿宋" w:hint="eastAsia"/>
          <w:sz w:val="32"/>
          <w:szCs w:val="32"/>
        </w:rPr>
        <w:t>当事人如不服本决定，可在接到本处罚决定书之日起六十日内，向国家工商行政管理总局或广西壮族自治区人民政府申请行政复议或在六个月内向南宁市青秀区人民法院提起行政诉讼。复议、诉讼期间，本处罚决定不停止执行。</w:t>
      </w:r>
    </w:p>
    <w:p w:rsidR="009648F2" w:rsidRPr="00B47231" w:rsidRDefault="009648F2" w:rsidP="00675486">
      <w:pPr>
        <w:spacing w:line="480" w:lineRule="auto"/>
        <w:jc w:val="right"/>
        <w:rPr>
          <w:rFonts w:ascii="仿宋" w:eastAsia="仿宋" w:hAnsi="仿宋" w:hint="eastAsia"/>
          <w:sz w:val="32"/>
          <w:szCs w:val="32"/>
        </w:rPr>
      </w:pPr>
      <w:r w:rsidRPr="00B47231">
        <w:rPr>
          <w:rFonts w:ascii="仿宋" w:eastAsia="仿宋" w:hAnsi="仿宋" w:hint="eastAsia"/>
          <w:sz w:val="32"/>
          <w:szCs w:val="32"/>
        </w:rPr>
        <w:t>广西壮族自治区工商行政管理局</w:t>
      </w:r>
    </w:p>
    <w:p w:rsidR="00517D05" w:rsidRPr="00B47231" w:rsidRDefault="009648F2" w:rsidP="00675486">
      <w:pPr>
        <w:wordWrap w:val="0"/>
        <w:spacing w:line="480" w:lineRule="auto"/>
        <w:jc w:val="right"/>
        <w:rPr>
          <w:rFonts w:ascii="仿宋" w:eastAsia="仿宋" w:hAnsi="仿宋"/>
          <w:sz w:val="32"/>
          <w:szCs w:val="32"/>
        </w:rPr>
      </w:pPr>
      <w:r w:rsidRPr="00B47231">
        <w:rPr>
          <w:rFonts w:ascii="仿宋" w:eastAsia="仿宋" w:hAnsi="仿宋" w:hint="eastAsia"/>
          <w:sz w:val="32"/>
          <w:szCs w:val="32"/>
        </w:rPr>
        <w:t>2017 年3月20日</w:t>
      </w:r>
      <w:r w:rsidR="00675486">
        <w:rPr>
          <w:rFonts w:ascii="仿宋" w:eastAsia="仿宋" w:hAnsi="仿宋" w:hint="eastAsia"/>
          <w:sz w:val="32"/>
          <w:szCs w:val="32"/>
        </w:rPr>
        <w:t xml:space="preserve">     </w:t>
      </w:r>
      <w:r w:rsidR="00A31120">
        <w:rPr>
          <w:rFonts w:ascii="仿宋" w:eastAsia="仿宋" w:hAnsi="仿宋" w:hint="eastAsia"/>
          <w:sz w:val="32"/>
          <w:szCs w:val="32"/>
        </w:rPr>
        <w:t xml:space="preserve"> </w:t>
      </w:r>
      <w:bookmarkStart w:id="0" w:name="_GoBack"/>
      <w:bookmarkEnd w:id="0"/>
    </w:p>
    <w:sectPr w:rsidR="00517D05" w:rsidRPr="00B4723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9CE"/>
    <w:rsid w:val="004449CE"/>
    <w:rsid w:val="00517D05"/>
    <w:rsid w:val="00675486"/>
    <w:rsid w:val="009648F2"/>
    <w:rsid w:val="00A31120"/>
    <w:rsid w:val="00B47231"/>
    <w:rsid w:val="00CA0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5257969">
      <w:bodyDiv w:val="1"/>
      <w:marLeft w:val="0"/>
      <w:marRight w:val="0"/>
      <w:marTop w:val="0"/>
      <w:marBottom w:val="0"/>
      <w:divBdr>
        <w:top w:val="none" w:sz="0" w:space="0" w:color="auto"/>
        <w:left w:val="none" w:sz="0" w:space="0" w:color="auto"/>
        <w:bottom w:val="none" w:sz="0" w:space="0" w:color="auto"/>
        <w:right w:val="none" w:sz="0" w:space="0" w:color="auto"/>
      </w:divBdr>
      <w:divsChild>
        <w:div w:id="995184104">
          <w:marLeft w:val="0"/>
          <w:marRight w:val="0"/>
          <w:marTop w:val="0"/>
          <w:marBottom w:val="0"/>
          <w:divBdr>
            <w:top w:val="none" w:sz="0" w:space="0" w:color="auto"/>
            <w:left w:val="none" w:sz="0" w:space="0" w:color="auto"/>
            <w:bottom w:val="none" w:sz="0" w:space="0" w:color="auto"/>
            <w:right w:val="none" w:sz="0" w:space="0" w:color="auto"/>
          </w:divBdr>
          <w:divsChild>
            <w:div w:id="1708144712">
              <w:marLeft w:val="0"/>
              <w:marRight w:val="0"/>
              <w:marTop w:val="100"/>
              <w:marBottom w:val="100"/>
              <w:divBdr>
                <w:top w:val="none" w:sz="0" w:space="0" w:color="auto"/>
                <w:left w:val="none" w:sz="0" w:space="0" w:color="auto"/>
                <w:bottom w:val="none" w:sz="0" w:space="0" w:color="auto"/>
                <w:right w:val="none" w:sz="0" w:space="0" w:color="auto"/>
              </w:divBdr>
              <w:divsChild>
                <w:div w:id="30162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16</Pages>
  <Words>1274</Words>
  <Characters>7265</Characters>
  <Application>Microsoft Office Word</Application>
  <DocSecurity>0</DocSecurity>
  <Lines>60</Lines>
  <Paragraphs>17</Paragraphs>
  <ScaleCrop>false</ScaleCrop>
  <Company>Microsoft</Company>
  <LinksUpToDate>false</LinksUpToDate>
  <CharactersWithSpaces>8522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009</dc:creator>
  <cp:keywords/>
  <dc:description/>
  <cp:lastModifiedBy>009</cp:lastModifiedBy>
  <cp:revision>6</cp:revision>
  <dcterms:created xsi:type="dcterms:W3CDTF">2017-04-13T06:08:00Z</dcterms:created>
  <dcterms:modified xsi:type="dcterms:W3CDTF">2017-04-13T06:18:00Z</dcterms:modified>
</cp:coreProperties>
</file>