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keepNext w:val="0"/>
        <w:keepLines w:val="0"/>
        <w:pageBreakBefore w:val="0"/>
        <w:widowControl w:val="0"/>
        <w:kinsoku/>
        <w:wordWrap/>
        <w:overflowPunct/>
        <w:topLinePunct w:val="0"/>
        <w:autoSpaceDE/>
        <w:autoSpaceDN/>
        <w:bidi w:val="0"/>
        <w:adjustRightInd/>
        <w:snapToGrid/>
        <w:spacing w:after="313" w:afterLines="100" w:line="480" w:lineRule="exact"/>
        <w:contextualSpacing/>
        <w:jc w:val="left"/>
        <w:textAlignment w:val="auto"/>
        <w:rPr>
          <w:rFonts w:hint="eastAsia" w:ascii="Arial" w:hAnsi="Arial" w:eastAsia="方正小标宋简体" w:cs="Arial"/>
          <w:sz w:val="32"/>
          <w:szCs w:val="32"/>
          <w:lang w:eastAsia="zh-CN"/>
        </w:rPr>
      </w:pPr>
      <w:r>
        <w:rPr>
          <w:rFonts w:hint="eastAsia" w:ascii="Arial" w:hAnsi="Arial" w:eastAsia="方正小标宋简体" w:cs="Arial"/>
          <w:sz w:val="32"/>
          <w:szCs w:val="32"/>
          <w:lang w:eastAsia="zh-CN"/>
        </w:rPr>
        <w:t>附件：</w:t>
      </w:r>
    </w:p>
    <w:p>
      <w:pPr>
        <w:pStyle w:val="20"/>
        <w:spacing w:after="0" w:line="480" w:lineRule="exact"/>
        <w:contextualSpacing/>
        <w:jc w:val="center"/>
        <w:rPr>
          <w:rFonts w:hint="eastAsia" w:ascii="Arial" w:hAnsi="Arial" w:eastAsia="方正小标宋简体" w:cs="Arial"/>
          <w:sz w:val="44"/>
          <w:szCs w:val="44"/>
          <w:lang w:eastAsia="zh-CN"/>
        </w:rPr>
      </w:pPr>
    </w:p>
    <w:p>
      <w:pPr>
        <w:pStyle w:val="20"/>
        <w:spacing w:after="0" w:line="480" w:lineRule="exact"/>
        <w:contextualSpacing/>
        <w:jc w:val="center"/>
        <w:rPr>
          <w:rFonts w:ascii="Arial" w:hAnsi="Arial" w:eastAsia="方正小标宋简体" w:cs="Arial"/>
          <w:color w:val="auto"/>
          <w:sz w:val="44"/>
          <w:szCs w:val="44"/>
          <w:lang w:val="en-US" w:eastAsia="zh-CN"/>
        </w:rPr>
      </w:pPr>
      <w:r>
        <w:rPr>
          <w:rFonts w:hint="eastAsia" w:ascii="Arial" w:hAnsi="Arial" w:eastAsia="方正小标宋简体" w:cs="Arial"/>
          <w:sz w:val="44"/>
          <w:szCs w:val="44"/>
          <w:lang w:eastAsia="zh-CN"/>
        </w:rPr>
        <w:t>关于</w:t>
      </w:r>
      <w:bookmarkStart w:id="0" w:name="_Hlk93048381"/>
      <w:r>
        <w:rPr>
          <w:rFonts w:hint="eastAsia" w:ascii="Arial" w:hAnsi="Arial" w:eastAsia="方正小标宋简体" w:cs="Arial"/>
          <w:color w:val="auto"/>
          <w:sz w:val="44"/>
          <w:szCs w:val="44"/>
          <w:lang w:val="en-US" w:eastAsia="zh-CN"/>
        </w:rPr>
        <w:t>环球晶圆股份有限公司收购世创股份</w:t>
      </w:r>
    </w:p>
    <w:p>
      <w:pPr>
        <w:pStyle w:val="20"/>
        <w:spacing w:after="0" w:line="480" w:lineRule="exact"/>
        <w:contextualSpacing/>
        <w:jc w:val="center"/>
        <w:rPr>
          <w:rFonts w:ascii="Arial" w:hAnsi="Arial" w:eastAsia="方正小标宋简体" w:cs="Arial"/>
          <w:color w:val="auto"/>
          <w:sz w:val="44"/>
          <w:szCs w:val="44"/>
          <w:lang w:val="en-US" w:eastAsia="zh-CN"/>
        </w:rPr>
      </w:pPr>
      <w:r>
        <w:rPr>
          <w:rFonts w:hint="eastAsia" w:ascii="Arial" w:hAnsi="Arial" w:eastAsia="方正小标宋简体" w:cs="Arial"/>
          <w:color w:val="auto"/>
          <w:sz w:val="44"/>
          <w:szCs w:val="44"/>
          <w:lang w:val="en-US" w:eastAsia="zh-CN"/>
        </w:rPr>
        <w:t>有限公司股权案的</w:t>
      </w:r>
      <w:r>
        <w:rPr>
          <w:rFonts w:ascii="Arial" w:hAnsi="Arial" w:eastAsia="方正小标宋简体" w:cs="Arial"/>
          <w:color w:val="auto"/>
          <w:sz w:val="44"/>
          <w:szCs w:val="44"/>
          <w:lang w:val="en-US" w:eastAsia="zh-CN"/>
        </w:rPr>
        <w:t>附加限制性条件</w:t>
      </w:r>
    </w:p>
    <w:p>
      <w:pPr>
        <w:pStyle w:val="20"/>
        <w:spacing w:after="0" w:line="480" w:lineRule="exact"/>
        <w:contextualSpacing/>
        <w:jc w:val="center"/>
        <w:rPr>
          <w:rFonts w:ascii="Arial" w:hAnsi="Arial" w:eastAsia="仿宋_GB2312" w:cs="Arial"/>
          <w:sz w:val="44"/>
          <w:szCs w:val="44"/>
          <w:lang w:val="en-US" w:eastAsia="zh-CN"/>
        </w:rPr>
      </w:pPr>
      <w:r>
        <w:rPr>
          <w:rFonts w:hint="eastAsia" w:ascii="Arial" w:hAnsi="Arial" w:eastAsia="方正小标宋简体" w:cs="Arial"/>
          <w:color w:val="auto"/>
          <w:sz w:val="44"/>
          <w:szCs w:val="44"/>
          <w:lang w:val="en-US" w:eastAsia="zh-CN"/>
        </w:rPr>
        <w:t>承诺</w:t>
      </w:r>
      <w:r>
        <w:rPr>
          <w:rFonts w:ascii="Arial" w:hAnsi="Arial" w:eastAsia="方正小标宋简体" w:cs="Arial"/>
          <w:color w:val="auto"/>
          <w:sz w:val="44"/>
          <w:szCs w:val="44"/>
          <w:lang w:val="en-US" w:eastAsia="zh-CN"/>
        </w:rPr>
        <w:t>方案</w:t>
      </w:r>
      <w:bookmarkEnd w:id="0"/>
    </w:p>
    <w:p>
      <w:pPr>
        <w:pStyle w:val="20"/>
        <w:spacing w:after="0" w:line="240" w:lineRule="auto"/>
        <w:contextualSpacing/>
        <w:jc w:val="center"/>
        <w:rPr>
          <w:rFonts w:ascii="Arial" w:hAnsi="Arial" w:eastAsia="仿宋_GB2312" w:cs="Arial"/>
          <w:sz w:val="36"/>
          <w:szCs w:val="36"/>
          <w:lang w:val="en-US" w:eastAsia="zh-CN"/>
        </w:rPr>
      </w:pPr>
      <w:r>
        <w:rPr>
          <w:rFonts w:ascii="Arial" w:hAnsi="Arial" w:eastAsia="仿宋_GB2312" w:cs="Arial"/>
          <w:sz w:val="36"/>
          <w:szCs w:val="36"/>
          <w:lang w:val="en-US" w:eastAsia="zh-CN"/>
        </w:rPr>
        <w:t>2022年1</w:t>
      </w:r>
      <w:r>
        <w:rPr>
          <w:rFonts w:hint="eastAsia" w:ascii="Arial" w:hAnsi="Arial" w:eastAsia="仿宋_GB2312" w:cs="Arial"/>
          <w:sz w:val="36"/>
          <w:szCs w:val="36"/>
          <w:lang w:val="en-US" w:eastAsia="zh-CN"/>
        </w:rPr>
        <w:t>月</w:t>
      </w:r>
      <w:r>
        <w:rPr>
          <w:rFonts w:ascii="Arial" w:hAnsi="Arial" w:eastAsia="仿宋_GB2312" w:cs="Arial"/>
          <w:sz w:val="36"/>
          <w:szCs w:val="36"/>
          <w:lang w:val="en-US" w:eastAsia="zh-CN"/>
        </w:rPr>
        <w:t>18</w:t>
      </w:r>
      <w:r>
        <w:rPr>
          <w:rFonts w:hint="eastAsia" w:ascii="Arial" w:hAnsi="Arial" w:eastAsia="仿宋_GB2312" w:cs="Arial"/>
          <w:sz w:val="36"/>
          <w:szCs w:val="36"/>
          <w:lang w:val="en-US" w:eastAsia="zh-CN"/>
        </w:rPr>
        <w:t>日</w:t>
      </w:r>
    </w:p>
    <w:p>
      <w:pPr>
        <w:spacing w:line="580" w:lineRule="exact"/>
        <w:rPr>
          <w:rFonts w:ascii="Arial" w:hAnsi="Arial" w:eastAsia="华文楷体" w:cs="Arial"/>
          <w:sz w:val="36"/>
          <w:szCs w:val="36"/>
        </w:rPr>
      </w:pPr>
    </w:p>
    <w:p>
      <w:pPr>
        <w:spacing w:line="580" w:lineRule="exact"/>
        <w:ind w:firstLine="629"/>
        <w:rPr>
          <w:rFonts w:ascii="Arial" w:hAnsi="Arial" w:eastAsia="仿宋_GB2312" w:cs="Arial"/>
          <w:kern w:val="0"/>
          <w:sz w:val="32"/>
          <w:szCs w:val="32"/>
        </w:rPr>
      </w:pPr>
      <w:r>
        <w:rPr>
          <w:rFonts w:ascii="Arial" w:hAnsi="Arial" w:eastAsia="仿宋_GB2312" w:cs="Arial"/>
          <w:kern w:val="0"/>
          <w:sz w:val="32"/>
          <w:szCs w:val="32"/>
        </w:rPr>
        <w:t>根据《中华人民共和国反垄断法》</w:t>
      </w:r>
      <w:r>
        <w:rPr>
          <w:rFonts w:hint="eastAsia" w:ascii="Arial" w:hAnsi="Arial" w:eastAsia="仿宋_GB2312" w:cs="Arial"/>
          <w:kern w:val="0"/>
          <w:sz w:val="32"/>
          <w:szCs w:val="32"/>
        </w:rPr>
        <w:t>《经营者集中审查暂行规定》</w:t>
      </w:r>
      <w:r>
        <w:rPr>
          <w:rFonts w:ascii="Arial" w:hAnsi="Arial" w:eastAsia="仿宋_GB2312" w:cs="Arial"/>
          <w:kern w:val="0"/>
          <w:sz w:val="32"/>
          <w:szCs w:val="32"/>
        </w:rPr>
        <w:t>及其他相关法规和规定，</w:t>
      </w:r>
      <w:r>
        <w:rPr>
          <w:rFonts w:hint="eastAsia" w:ascii="Arial" w:hAnsi="Arial" w:eastAsia="仿宋_GB2312" w:cs="Arial"/>
          <w:kern w:val="0"/>
          <w:sz w:val="32"/>
          <w:szCs w:val="32"/>
        </w:rPr>
        <w:t>环球晶圆股份有限公司和世创股份有限公司</w:t>
      </w:r>
      <w:r>
        <w:rPr>
          <w:rFonts w:hint="eastAsia" w:ascii="Arial" w:hAnsi="Arial" w:eastAsia="仿宋_GB2312" w:cs="Arial"/>
          <w:b/>
          <w:bCs/>
          <w:kern w:val="0"/>
          <w:sz w:val="32"/>
          <w:szCs w:val="32"/>
        </w:rPr>
        <w:t>（以下合称交易双方</w:t>
      </w:r>
      <w:r>
        <w:rPr>
          <w:rFonts w:hint="eastAsia" w:ascii="Arial" w:hAnsi="Arial" w:eastAsia="仿宋_GB2312" w:cs="Arial"/>
          <w:kern w:val="0"/>
          <w:sz w:val="32"/>
          <w:szCs w:val="32"/>
        </w:rPr>
        <w:t>）</w:t>
      </w:r>
      <w:r>
        <w:rPr>
          <w:rFonts w:ascii="Arial" w:hAnsi="Arial" w:eastAsia="仿宋_GB2312" w:cs="Arial"/>
          <w:kern w:val="0"/>
          <w:sz w:val="32"/>
          <w:szCs w:val="32"/>
        </w:rPr>
        <w:t>谨此就</w:t>
      </w:r>
      <w:r>
        <w:rPr>
          <w:rFonts w:hint="eastAsia" w:ascii="Arial" w:hAnsi="Arial" w:eastAsia="仿宋_GB2312" w:cs="Arial"/>
          <w:kern w:val="0"/>
          <w:sz w:val="32"/>
          <w:szCs w:val="32"/>
        </w:rPr>
        <w:t>环球晶圆股份有限公司（</w:t>
      </w:r>
      <w:r>
        <w:rPr>
          <w:rFonts w:hint="eastAsia" w:ascii="Arial" w:hAnsi="Arial" w:eastAsia="仿宋_GB2312" w:cs="Arial"/>
          <w:b/>
          <w:bCs/>
          <w:kern w:val="0"/>
          <w:sz w:val="32"/>
          <w:szCs w:val="32"/>
        </w:rPr>
        <w:t>以下简称环球晶圆</w:t>
      </w:r>
      <w:r>
        <w:rPr>
          <w:rFonts w:hint="eastAsia" w:ascii="Arial" w:hAnsi="Arial" w:eastAsia="仿宋_GB2312" w:cs="Arial"/>
          <w:kern w:val="0"/>
          <w:sz w:val="32"/>
          <w:szCs w:val="32"/>
        </w:rPr>
        <w:t>）收购世创股份有限公司（</w:t>
      </w:r>
      <w:r>
        <w:rPr>
          <w:rFonts w:hint="eastAsia" w:ascii="Arial" w:hAnsi="Arial" w:eastAsia="仿宋_GB2312" w:cs="Arial"/>
          <w:b/>
          <w:bCs/>
          <w:kern w:val="0"/>
          <w:sz w:val="32"/>
          <w:szCs w:val="32"/>
        </w:rPr>
        <w:t>以下简称世创）</w:t>
      </w:r>
      <w:r>
        <w:rPr>
          <w:rFonts w:hint="eastAsia" w:ascii="Arial" w:hAnsi="Arial" w:eastAsia="仿宋_GB2312" w:cs="Arial"/>
          <w:kern w:val="0"/>
          <w:sz w:val="32"/>
          <w:szCs w:val="32"/>
        </w:rPr>
        <w:t>股权案</w:t>
      </w:r>
      <w:r>
        <w:rPr>
          <w:rFonts w:ascii="Arial" w:hAnsi="Arial" w:eastAsia="仿宋_GB2312" w:cs="Arial"/>
          <w:kern w:val="0"/>
          <w:sz w:val="32"/>
          <w:szCs w:val="32"/>
        </w:rPr>
        <w:t>向国家市场监督管理总局（</w:t>
      </w:r>
      <w:r>
        <w:rPr>
          <w:rFonts w:hint="eastAsia" w:ascii="Arial" w:hAnsi="Arial" w:eastAsia="仿宋_GB2312" w:cs="Arial"/>
          <w:b/>
          <w:bCs/>
          <w:kern w:val="0"/>
          <w:sz w:val="32"/>
          <w:szCs w:val="32"/>
        </w:rPr>
        <w:t>以下简称</w:t>
      </w:r>
      <w:r>
        <w:rPr>
          <w:rFonts w:ascii="Arial" w:hAnsi="Arial" w:eastAsia="仿宋_GB2312" w:cs="Arial"/>
          <w:b/>
          <w:bCs/>
          <w:kern w:val="0"/>
          <w:sz w:val="32"/>
          <w:szCs w:val="32"/>
        </w:rPr>
        <w:t>市场监管总局</w:t>
      </w:r>
      <w:r>
        <w:rPr>
          <w:rFonts w:ascii="Arial" w:hAnsi="Arial" w:eastAsia="仿宋_GB2312" w:cs="Arial"/>
          <w:kern w:val="0"/>
          <w:sz w:val="32"/>
          <w:szCs w:val="32"/>
        </w:rPr>
        <w:t>）提交以下</w:t>
      </w:r>
      <w:r>
        <w:rPr>
          <w:rFonts w:hint="eastAsia" w:ascii="Arial" w:hAnsi="Arial" w:eastAsia="仿宋_GB2312" w:cs="Arial"/>
          <w:kern w:val="0"/>
          <w:sz w:val="32"/>
          <w:szCs w:val="32"/>
        </w:rPr>
        <w:t>附加</w:t>
      </w:r>
      <w:r>
        <w:rPr>
          <w:rFonts w:ascii="Arial" w:hAnsi="Arial" w:eastAsia="仿宋_GB2312" w:cs="Arial"/>
          <w:kern w:val="0"/>
          <w:sz w:val="32"/>
          <w:szCs w:val="32"/>
        </w:rPr>
        <w:t>限制性条件</w:t>
      </w:r>
      <w:r>
        <w:rPr>
          <w:rFonts w:hint="eastAsia" w:ascii="Arial" w:hAnsi="Arial" w:eastAsia="仿宋_GB2312" w:cs="Arial"/>
          <w:kern w:val="0"/>
          <w:sz w:val="32"/>
          <w:szCs w:val="32"/>
        </w:rPr>
        <w:t>承诺</w:t>
      </w:r>
      <w:r>
        <w:rPr>
          <w:rFonts w:ascii="Arial" w:hAnsi="Arial" w:eastAsia="仿宋_GB2312" w:cs="Arial"/>
          <w:kern w:val="0"/>
          <w:sz w:val="32"/>
          <w:szCs w:val="32"/>
        </w:rPr>
        <w:t>方案。</w:t>
      </w:r>
    </w:p>
    <w:p>
      <w:pPr>
        <w:spacing w:line="580" w:lineRule="exact"/>
        <w:rPr>
          <w:rFonts w:ascii="Arial" w:hAnsi="Arial" w:eastAsia="仿宋_GB2312" w:cs="Arial"/>
          <w:kern w:val="0"/>
          <w:sz w:val="32"/>
          <w:szCs w:val="32"/>
        </w:rPr>
      </w:pPr>
    </w:p>
    <w:p>
      <w:pPr>
        <w:pStyle w:val="17"/>
        <w:widowControl/>
        <w:autoSpaceDE w:val="0"/>
        <w:autoSpaceDN w:val="0"/>
        <w:adjustRightInd w:val="0"/>
        <w:snapToGrid w:val="0"/>
        <w:spacing w:before="156" w:beforeLines="50" w:after="156" w:afterLines="50"/>
        <w:ind w:left="0"/>
        <w:jc w:val="center"/>
        <w:rPr>
          <w:rFonts w:ascii="Arial" w:hAnsi="Arial" w:eastAsia="黑体" w:cs="Arial"/>
          <w:b/>
          <w:sz w:val="32"/>
          <w:szCs w:val="32"/>
          <w:lang w:eastAsia="zh-CN"/>
        </w:rPr>
      </w:pPr>
      <w:r>
        <w:rPr>
          <w:rFonts w:ascii="Arial" w:hAnsi="Arial" w:eastAsia="黑体" w:cs="Arial"/>
          <w:b/>
          <w:sz w:val="32"/>
          <w:szCs w:val="32"/>
          <w:lang w:eastAsia="zh-CN"/>
        </w:rPr>
        <w:t>第一部分 定义</w:t>
      </w:r>
    </w:p>
    <w:p>
      <w:pPr>
        <w:pStyle w:val="17"/>
        <w:widowControl/>
        <w:autoSpaceDE w:val="0"/>
        <w:autoSpaceDN w:val="0"/>
        <w:adjustRightInd w:val="0"/>
        <w:snapToGrid w:val="0"/>
        <w:spacing w:before="156" w:beforeLines="50" w:after="156" w:afterLines="50"/>
        <w:ind w:left="0"/>
        <w:jc w:val="center"/>
        <w:rPr>
          <w:rFonts w:ascii="Arial" w:hAnsi="Arial" w:eastAsia="黑体" w:cs="Arial"/>
          <w:sz w:val="32"/>
          <w:szCs w:val="32"/>
          <w:lang w:eastAsia="zh-CN"/>
        </w:rPr>
      </w:pPr>
    </w:p>
    <w:p>
      <w:pPr>
        <w:pStyle w:val="17"/>
        <w:widowControl/>
        <w:autoSpaceDE w:val="0"/>
        <w:autoSpaceDN w:val="0"/>
        <w:adjustRightInd w:val="0"/>
        <w:snapToGrid w:val="0"/>
        <w:spacing w:before="624" w:beforeLines="200" w:after="312" w:afterLines="100" w:line="360" w:lineRule="auto"/>
        <w:ind w:left="0" w:firstLine="640" w:firstLineChars="200"/>
        <w:rPr>
          <w:rFonts w:ascii="Arial" w:hAnsi="Arial" w:eastAsia="仿宋_GB2312" w:cs="Arial"/>
          <w:kern w:val="0"/>
          <w:sz w:val="32"/>
          <w:szCs w:val="32"/>
          <w:lang w:eastAsia="zh-CN"/>
        </w:rPr>
      </w:pPr>
      <w:r>
        <w:rPr>
          <w:rFonts w:ascii="Arial" w:hAnsi="Arial" w:eastAsia="仿宋_GB2312" w:cs="Arial"/>
          <w:kern w:val="0"/>
          <w:sz w:val="32"/>
          <w:szCs w:val="32"/>
          <w:lang w:eastAsia="zh-CN"/>
        </w:rPr>
        <w:t>就本</w:t>
      </w:r>
      <w:r>
        <w:rPr>
          <w:rFonts w:hint="eastAsia" w:ascii="Arial" w:hAnsi="Arial" w:eastAsia="仿宋_GB2312" w:cs="Arial"/>
          <w:kern w:val="0"/>
          <w:sz w:val="32"/>
          <w:szCs w:val="32"/>
          <w:lang w:eastAsia="zh-CN"/>
        </w:rPr>
        <w:t>承诺方案</w:t>
      </w:r>
      <w:r>
        <w:rPr>
          <w:rFonts w:ascii="Arial" w:hAnsi="Arial" w:eastAsia="仿宋_GB2312" w:cs="Arial"/>
          <w:kern w:val="0"/>
          <w:sz w:val="32"/>
          <w:szCs w:val="32"/>
          <w:lang w:eastAsia="zh-CN"/>
        </w:rPr>
        <w:t>而言，以下术语定义如下：</w:t>
      </w:r>
    </w:p>
    <w:p>
      <w:pPr>
        <w:pStyle w:val="17"/>
        <w:widowControl/>
        <w:autoSpaceDE w:val="0"/>
        <w:autoSpaceDN w:val="0"/>
        <w:adjustRightInd w:val="0"/>
        <w:snapToGrid w:val="0"/>
        <w:spacing w:before="156" w:beforeLines="50" w:after="156" w:afterLines="50" w:line="360" w:lineRule="auto"/>
        <w:ind w:left="0"/>
        <w:rPr>
          <w:rFonts w:ascii="Arial" w:hAnsi="Arial" w:eastAsia="仿宋_GB2312" w:cs="Arial"/>
          <w:kern w:val="0"/>
          <w:sz w:val="32"/>
          <w:szCs w:val="32"/>
          <w:lang w:eastAsia="zh-CN"/>
        </w:rPr>
      </w:pPr>
    </w:p>
    <w:p>
      <w:pPr>
        <w:pStyle w:val="17"/>
        <w:widowControl/>
        <w:autoSpaceDE w:val="0"/>
        <w:autoSpaceDN w:val="0"/>
        <w:adjustRightInd w:val="0"/>
        <w:snapToGrid w:val="0"/>
        <w:spacing w:before="624" w:beforeLines="200" w:after="624" w:afterLines="200" w:line="360" w:lineRule="auto"/>
        <w:ind w:left="0" w:firstLine="642" w:firstLineChars="200"/>
        <w:rPr>
          <w:rFonts w:ascii="Arial" w:hAnsi="Arial" w:eastAsia="仿宋_GB2312" w:cs="Arial"/>
          <w:kern w:val="0"/>
          <w:sz w:val="32"/>
          <w:szCs w:val="32"/>
          <w:lang w:eastAsia="zh-CN"/>
        </w:rPr>
      </w:pPr>
      <w:bookmarkStart w:id="1" w:name="OLE_LINK9"/>
      <w:bookmarkStart w:id="2" w:name="OLE_LINK10"/>
      <w:r>
        <w:rPr>
          <w:rFonts w:hint="cs" w:ascii="Arial" w:hAnsi="Arial" w:eastAsia="仿宋_GB2312" w:cs="Arial"/>
          <w:b/>
          <w:bCs/>
          <w:kern w:val="0"/>
          <w:sz w:val="32"/>
          <w:szCs w:val="32"/>
          <w:lang w:eastAsia="zh-CN"/>
        </w:rPr>
        <w:t>环</w:t>
      </w:r>
      <w:r>
        <w:rPr>
          <w:rFonts w:hint="eastAsia" w:ascii="Arial" w:hAnsi="Arial" w:eastAsia="仿宋_GB2312" w:cs="Arial"/>
          <w:b/>
          <w:bCs/>
          <w:kern w:val="0"/>
          <w:sz w:val="32"/>
          <w:szCs w:val="32"/>
          <w:lang w:eastAsia="zh-CN"/>
        </w:rPr>
        <w:t>球晶</w:t>
      </w:r>
      <w:bookmarkEnd w:id="1"/>
      <w:bookmarkEnd w:id="2"/>
      <w:r>
        <w:rPr>
          <w:rFonts w:hint="eastAsia" w:ascii="Arial" w:hAnsi="Arial" w:eastAsia="仿宋_GB2312" w:cs="Arial"/>
          <w:b/>
          <w:bCs/>
          <w:kern w:val="0"/>
          <w:sz w:val="32"/>
          <w:szCs w:val="32"/>
          <w:lang w:eastAsia="zh-CN"/>
        </w:rPr>
        <w:t>圆：</w:t>
      </w:r>
      <w:r>
        <w:rPr>
          <w:rFonts w:hint="eastAsia" w:ascii="Arial" w:hAnsi="Arial" w:eastAsia="仿宋_GB2312" w:cs="Arial"/>
          <w:kern w:val="0"/>
          <w:sz w:val="32"/>
          <w:szCs w:val="32"/>
          <w:lang w:eastAsia="zh-CN"/>
        </w:rPr>
        <w:t>环球晶圆股份有限公司是一家在台湾成立的公司，其注册地址为中国台湾地区新竹市科学工业园区工业东二路</w:t>
      </w:r>
      <w:r>
        <w:rPr>
          <w:rFonts w:ascii="Arial" w:hAnsi="Arial" w:eastAsia="仿宋_GB2312" w:cs="Arial"/>
          <w:kern w:val="0"/>
          <w:sz w:val="32"/>
          <w:szCs w:val="32"/>
          <w:lang w:eastAsia="zh-CN"/>
        </w:rPr>
        <w:t>8</w:t>
      </w:r>
      <w:r>
        <w:rPr>
          <w:rFonts w:hint="eastAsia" w:ascii="Arial" w:hAnsi="Arial" w:eastAsia="仿宋_GB2312" w:cs="Arial"/>
          <w:kern w:val="0"/>
          <w:sz w:val="32"/>
          <w:szCs w:val="32"/>
          <w:lang w:eastAsia="zh-CN"/>
        </w:rPr>
        <w:t>号。</w:t>
      </w:r>
    </w:p>
    <w:p>
      <w:pPr>
        <w:pStyle w:val="17"/>
        <w:widowControl/>
        <w:autoSpaceDE w:val="0"/>
        <w:autoSpaceDN w:val="0"/>
        <w:adjustRightInd w:val="0"/>
        <w:snapToGrid w:val="0"/>
        <w:spacing w:before="624" w:beforeLines="200" w:after="624" w:afterLines="200" w:line="360" w:lineRule="auto"/>
        <w:ind w:left="0" w:firstLine="642" w:firstLineChars="200"/>
        <w:rPr>
          <w:rFonts w:ascii="Arial" w:hAnsi="Arial" w:eastAsia="仿宋_GB2312" w:cs="Arial"/>
          <w:kern w:val="0"/>
          <w:sz w:val="32"/>
          <w:szCs w:val="32"/>
          <w:lang w:eastAsia="zh-CN"/>
        </w:rPr>
      </w:pPr>
      <w:r>
        <w:rPr>
          <w:rFonts w:hint="eastAsia" w:ascii="Arial" w:hAnsi="Arial" w:eastAsia="仿宋_GB2312" w:cs="Arial"/>
          <w:b/>
          <w:bCs/>
          <w:kern w:val="0"/>
          <w:sz w:val="32"/>
          <w:szCs w:val="32"/>
          <w:lang w:eastAsia="zh-CN"/>
        </w:rPr>
        <w:t>世创</w:t>
      </w:r>
      <w:r>
        <w:rPr>
          <w:rFonts w:ascii="Arial" w:hAnsi="Arial" w:eastAsia="仿宋_GB2312" w:cs="Arial"/>
          <w:b/>
          <w:bCs/>
          <w:kern w:val="0"/>
          <w:sz w:val="32"/>
          <w:szCs w:val="32"/>
          <w:lang w:eastAsia="zh-CN"/>
        </w:rPr>
        <w:t>：</w:t>
      </w:r>
      <w:r>
        <w:rPr>
          <w:rFonts w:hint="eastAsia" w:ascii="Arial" w:hAnsi="Arial" w:eastAsia="仿宋_GB2312" w:cs="Arial"/>
          <w:kern w:val="0"/>
          <w:sz w:val="32"/>
          <w:szCs w:val="32"/>
          <w:lang w:eastAsia="zh-CN"/>
        </w:rPr>
        <w:t>世创股份有限公司（</w:t>
      </w:r>
      <w:r>
        <w:rPr>
          <w:rFonts w:ascii="Arial" w:hAnsi="Arial" w:eastAsia="仿宋_GB2312" w:cs="Arial"/>
          <w:sz w:val="32"/>
          <w:lang w:eastAsia="zh-CN"/>
        </w:rPr>
        <w:t>Siltronic AG</w:t>
      </w:r>
      <w:r>
        <w:rPr>
          <w:rFonts w:hint="eastAsia" w:ascii="Arial" w:hAnsi="Arial" w:eastAsia="仿宋_GB2312" w:cs="Arial"/>
          <w:kern w:val="0"/>
          <w:sz w:val="32"/>
          <w:szCs w:val="32"/>
          <w:lang w:eastAsia="zh-CN"/>
        </w:rPr>
        <w:t>）</w:t>
      </w:r>
      <w:r>
        <w:rPr>
          <w:rFonts w:ascii="Arial" w:hAnsi="Arial" w:eastAsia="仿宋_GB2312" w:cs="Arial"/>
          <w:kern w:val="0"/>
          <w:sz w:val="32"/>
          <w:szCs w:val="32"/>
          <w:lang w:eastAsia="zh-CN"/>
        </w:rPr>
        <w:t>是一家根据</w:t>
      </w:r>
      <w:r>
        <w:rPr>
          <w:rFonts w:hint="eastAsia" w:ascii="Arial" w:hAnsi="Arial" w:eastAsia="仿宋_GB2312" w:cs="Arial"/>
          <w:kern w:val="0"/>
          <w:sz w:val="32"/>
          <w:szCs w:val="32"/>
          <w:lang w:eastAsia="zh-CN"/>
        </w:rPr>
        <w:t>德国</w:t>
      </w:r>
      <w:r>
        <w:rPr>
          <w:rFonts w:ascii="Arial" w:hAnsi="Arial" w:eastAsia="仿宋_GB2312" w:cs="Arial"/>
          <w:kern w:val="0"/>
          <w:sz w:val="32"/>
          <w:szCs w:val="32"/>
          <w:lang w:eastAsia="zh-CN"/>
        </w:rPr>
        <w:t>法律成立的公司，</w:t>
      </w:r>
      <w:r>
        <w:rPr>
          <w:rFonts w:hint="eastAsia" w:ascii="Arial" w:hAnsi="Arial" w:eastAsia="仿宋_GB2312" w:cs="Arial"/>
          <w:kern w:val="0"/>
          <w:sz w:val="32"/>
          <w:szCs w:val="32"/>
          <w:lang w:eastAsia="zh-CN"/>
        </w:rPr>
        <w:t>其注册地址为德国慕尼黑爱因斯坦大街</w:t>
      </w:r>
      <w:r>
        <w:rPr>
          <w:rFonts w:ascii="Arial" w:hAnsi="Arial" w:eastAsia="仿宋_GB2312" w:cs="Arial"/>
          <w:kern w:val="0"/>
          <w:sz w:val="32"/>
          <w:szCs w:val="32"/>
          <w:lang w:eastAsia="zh-CN"/>
        </w:rPr>
        <w:t>172</w:t>
      </w:r>
      <w:r>
        <w:rPr>
          <w:rFonts w:hint="eastAsia" w:ascii="Arial" w:hAnsi="Arial" w:eastAsia="仿宋_GB2312" w:cs="Arial"/>
          <w:kern w:val="0"/>
          <w:sz w:val="32"/>
          <w:szCs w:val="32"/>
          <w:lang w:eastAsia="zh-CN"/>
        </w:rPr>
        <w:t>号，</w:t>
      </w:r>
      <w:r>
        <w:rPr>
          <w:rFonts w:ascii="Arial" w:hAnsi="Arial" w:eastAsia="仿宋_GB2312" w:cs="Arial"/>
          <w:kern w:val="0"/>
          <w:sz w:val="32"/>
          <w:szCs w:val="32"/>
          <w:lang w:eastAsia="zh-CN"/>
        </w:rPr>
        <w:t>81677。</w:t>
      </w:r>
    </w:p>
    <w:p>
      <w:pPr>
        <w:pStyle w:val="17"/>
        <w:widowControl/>
        <w:autoSpaceDE w:val="0"/>
        <w:autoSpaceDN w:val="0"/>
        <w:adjustRightInd w:val="0"/>
        <w:snapToGrid w:val="0"/>
        <w:spacing w:before="624" w:beforeLines="200" w:after="624" w:afterLines="200" w:line="360" w:lineRule="auto"/>
        <w:ind w:left="0" w:firstLine="642" w:firstLineChars="200"/>
        <w:rPr>
          <w:rFonts w:ascii="Arial" w:hAnsi="Arial" w:eastAsia="仿宋_GB2312" w:cs="Arial"/>
          <w:kern w:val="0"/>
          <w:sz w:val="32"/>
          <w:szCs w:val="32"/>
          <w:lang w:eastAsia="zh-CN"/>
        </w:rPr>
      </w:pPr>
      <w:r>
        <w:rPr>
          <w:rFonts w:hint="eastAsia" w:ascii="Arial" w:hAnsi="Arial" w:eastAsia="仿宋_GB2312" w:cs="Arial"/>
          <w:b/>
          <w:bCs/>
          <w:kern w:val="0"/>
          <w:sz w:val="32"/>
          <w:szCs w:val="32"/>
          <w:lang w:eastAsia="zh-CN"/>
        </w:rPr>
        <w:t>关联企业：</w:t>
      </w:r>
      <w:r>
        <w:rPr>
          <w:rFonts w:hint="eastAsia" w:ascii="Arial" w:hAnsi="Arial" w:eastAsia="仿宋_GB2312" w:cs="Arial"/>
          <w:kern w:val="0"/>
          <w:sz w:val="32"/>
          <w:szCs w:val="32"/>
          <w:lang w:eastAsia="zh-CN"/>
        </w:rPr>
        <w:t>任何拥有或控制交易一方的企业或其他法人实体、或由交易一方拥有或控制、或与交易一方被共同直接或间接控制超过5</w:t>
      </w:r>
      <w:r>
        <w:rPr>
          <w:rFonts w:ascii="Arial" w:hAnsi="Arial" w:eastAsia="仿宋_GB2312" w:cs="Arial"/>
          <w:kern w:val="0"/>
          <w:sz w:val="32"/>
          <w:szCs w:val="32"/>
          <w:lang w:eastAsia="zh-CN"/>
        </w:rPr>
        <w:t>0%</w:t>
      </w:r>
      <w:r>
        <w:rPr>
          <w:rFonts w:hint="eastAsia" w:ascii="Arial" w:hAnsi="Arial" w:eastAsia="仿宋_GB2312" w:cs="Arial"/>
          <w:kern w:val="0"/>
          <w:sz w:val="32"/>
          <w:szCs w:val="32"/>
          <w:lang w:eastAsia="zh-CN"/>
        </w:rPr>
        <w:t>表决权或股权的企业，或能够通过股权、合同或其他方式对企业的管理和政策施加影响的企业或其他法人实体。</w:t>
      </w:r>
    </w:p>
    <w:p>
      <w:pPr>
        <w:pStyle w:val="17"/>
        <w:widowControl/>
        <w:autoSpaceDE w:val="0"/>
        <w:autoSpaceDN w:val="0"/>
        <w:adjustRightInd w:val="0"/>
        <w:snapToGrid w:val="0"/>
        <w:spacing w:before="624" w:beforeLines="200" w:after="624" w:afterLines="200" w:line="360" w:lineRule="auto"/>
        <w:ind w:left="0" w:firstLine="642" w:firstLineChars="200"/>
        <w:rPr>
          <w:rFonts w:ascii="Arial" w:hAnsi="Arial" w:eastAsia="仿宋_GB2312" w:cs="Arial"/>
          <w:kern w:val="0"/>
          <w:sz w:val="32"/>
          <w:szCs w:val="32"/>
          <w:lang w:eastAsia="zh-CN"/>
        </w:rPr>
      </w:pPr>
      <w:r>
        <w:rPr>
          <w:rFonts w:hint="eastAsia" w:ascii="Arial" w:hAnsi="Arial" w:eastAsia="仿宋_GB2312" w:cs="Arial"/>
          <w:b/>
          <w:bCs/>
          <w:kern w:val="0"/>
          <w:sz w:val="32"/>
          <w:szCs w:val="32"/>
          <w:lang w:eastAsia="zh-CN"/>
        </w:rPr>
        <w:t>拟议</w:t>
      </w:r>
      <w:r>
        <w:rPr>
          <w:rFonts w:ascii="Arial" w:hAnsi="Arial" w:eastAsia="仿宋_GB2312" w:cs="Arial"/>
          <w:b/>
          <w:bCs/>
          <w:kern w:val="0"/>
          <w:sz w:val="32"/>
          <w:szCs w:val="32"/>
          <w:lang w:eastAsia="zh-CN"/>
        </w:rPr>
        <w:t>交易：</w:t>
      </w:r>
      <w:r>
        <w:rPr>
          <w:rFonts w:hint="eastAsia" w:ascii="Arial" w:hAnsi="Arial" w:eastAsia="仿宋_GB2312" w:cs="Arial"/>
          <w:kern w:val="0"/>
          <w:sz w:val="32"/>
          <w:szCs w:val="32"/>
          <w:lang w:eastAsia="zh-CN"/>
        </w:rPr>
        <w:t>环球晶圆股份有限公司收购世创股份有限公司股权案</w:t>
      </w:r>
      <w:r>
        <w:rPr>
          <w:rFonts w:ascii="Arial" w:hAnsi="Arial" w:eastAsia="仿宋_GB2312" w:cs="Arial"/>
          <w:kern w:val="0"/>
          <w:sz w:val="32"/>
          <w:szCs w:val="32"/>
          <w:lang w:eastAsia="zh-CN"/>
        </w:rPr>
        <w:t>。</w:t>
      </w:r>
    </w:p>
    <w:p>
      <w:pPr>
        <w:pStyle w:val="17"/>
        <w:widowControl/>
        <w:autoSpaceDE w:val="0"/>
        <w:autoSpaceDN w:val="0"/>
        <w:adjustRightInd w:val="0"/>
        <w:snapToGrid w:val="0"/>
        <w:spacing w:before="624" w:beforeLines="200" w:after="624" w:afterLines="200" w:line="360" w:lineRule="auto"/>
        <w:ind w:left="0" w:firstLine="642" w:firstLineChars="200"/>
        <w:rPr>
          <w:rFonts w:ascii="Arial" w:hAnsi="Arial" w:eastAsia="仿宋_GB2312" w:cs="Arial"/>
          <w:kern w:val="0"/>
          <w:sz w:val="32"/>
          <w:szCs w:val="32"/>
          <w:lang w:eastAsia="zh-CN"/>
        </w:rPr>
      </w:pPr>
      <w:r>
        <w:rPr>
          <w:rFonts w:ascii="Arial" w:hAnsi="Arial" w:eastAsia="仿宋_GB2312" w:cs="Arial"/>
          <w:b/>
          <w:bCs/>
          <w:kern w:val="0"/>
          <w:sz w:val="32"/>
          <w:szCs w:val="32"/>
          <w:lang w:eastAsia="zh-CN"/>
        </w:rPr>
        <w:t>集中后实体：</w:t>
      </w:r>
      <w:r>
        <w:rPr>
          <w:rFonts w:hint="eastAsia" w:ascii="Arial" w:hAnsi="Arial" w:eastAsia="仿宋_GB2312" w:cs="Arial"/>
          <w:kern w:val="0"/>
          <w:sz w:val="32"/>
          <w:szCs w:val="32"/>
          <w:lang w:eastAsia="zh-CN"/>
        </w:rPr>
        <w:t>拟议交易交割后</w:t>
      </w:r>
      <w:r>
        <w:rPr>
          <w:rFonts w:ascii="Arial" w:hAnsi="Arial" w:eastAsia="仿宋_GB2312" w:cs="Arial"/>
          <w:kern w:val="0"/>
          <w:sz w:val="32"/>
          <w:szCs w:val="32"/>
          <w:lang w:eastAsia="zh-CN"/>
        </w:rPr>
        <w:t>的</w:t>
      </w:r>
      <w:r>
        <w:rPr>
          <w:rFonts w:hint="eastAsia" w:ascii="Arial" w:hAnsi="Arial" w:eastAsia="仿宋_GB2312" w:cs="Arial"/>
          <w:kern w:val="0"/>
          <w:sz w:val="32"/>
          <w:szCs w:val="32"/>
          <w:lang w:eastAsia="zh-CN"/>
        </w:rPr>
        <w:t>环球晶圆</w:t>
      </w:r>
      <w:r>
        <w:rPr>
          <w:rFonts w:ascii="Arial" w:hAnsi="Arial" w:eastAsia="仿宋_GB2312" w:cs="Arial"/>
          <w:kern w:val="0"/>
          <w:sz w:val="32"/>
          <w:szCs w:val="32"/>
          <w:lang w:eastAsia="zh-CN"/>
        </w:rPr>
        <w:t>及其关联企业。</w:t>
      </w:r>
    </w:p>
    <w:p>
      <w:pPr>
        <w:pStyle w:val="17"/>
        <w:widowControl/>
        <w:autoSpaceDE w:val="0"/>
        <w:autoSpaceDN w:val="0"/>
        <w:adjustRightInd w:val="0"/>
        <w:snapToGrid w:val="0"/>
        <w:spacing w:before="624" w:beforeLines="200" w:after="624" w:afterLines="200" w:line="360" w:lineRule="auto"/>
        <w:ind w:left="0" w:firstLine="642" w:firstLineChars="200"/>
        <w:rPr>
          <w:rFonts w:ascii="Arial" w:hAnsi="Arial" w:eastAsia="仿宋_GB2312" w:cs="Arial"/>
          <w:kern w:val="0"/>
          <w:sz w:val="32"/>
          <w:szCs w:val="32"/>
          <w:lang w:eastAsia="zh-CN"/>
        </w:rPr>
      </w:pPr>
      <w:r>
        <w:rPr>
          <w:rFonts w:hint="eastAsia" w:ascii="Arial" w:hAnsi="Arial" w:eastAsia="仿宋_GB2312" w:cs="Arial"/>
          <w:b/>
          <w:bCs/>
          <w:kern w:val="0"/>
          <w:sz w:val="32"/>
          <w:szCs w:val="32"/>
          <w:lang w:eastAsia="zh-CN"/>
        </w:rPr>
        <w:t>中国客户：</w:t>
      </w:r>
      <w:r>
        <w:rPr>
          <w:rFonts w:hint="eastAsia" w:ascii="Arial" w:hAnsi="Arial" w:eastAsia="仿宋_GB2312" w:cs="Arial"/>
          <w:kern w:val="0"/>
          <w:sz w:val="32"/>
          <w:szCs w:val="32"/>
          <w:lang w:eastAsia="zh-CN"/>
        </w:rPr>
        <w:t>总部位于中国境内的企业和总部不在中国境内，但主要业务在中国境内的企业及其关联实体。</w:t>
      </w:r>
    </w:p>
    <w:p>
      <w:pPr>
        <w:pStyle w:val="17"/>
        <w:widowControl/>
        <w:autoSpaceDE w:val="0"/>
        <w:autoSpaceDN w:val="0"/>
        <w:adjustRightInd w:val="0"/>
        <w:snapToGrid w:val="0"/>
        <w:spacing w:before="624" w:beforeLines="200" w:after="624" w:afterLines="200" w:line="360" w:lineRule="auto"/>
        <w:ind w:left="0" w:firstLine="642" w:firstLineChars="200"/>
        <w:rPr>
          <w:rFonts w:ascii="Arial" w:hAnsi="Arial" w:eastAsia="仿宋_GB2312" w:cs="Arial"/>
          <w:kern w:val="0"/>
          <w:sz w:val="32"/>
          <w:szCs w:val="32"/>
          <w:lang w:eastAsia="zh-CN"/>
        </w:rPr>
      </w:pPr>
      <w:r>
        <w:rPr>
          <w:rFonts w:hint="eastAsia" w:ascii="Arial" w:hAnsi="Arial" w:eastAsia="仿宋_GB2312" w:cs="Arial"/>
          <w:b/>
          <w:bCs/>
          <w:kern w:val="0"/>
          <w:sz w:val="32"/>
          <w:szCs w:val="32"/>
          <w:lang w:eastAsia="zh-CN"/>
        </w:rPr>
        <w:t>晶圆</w:t>
      </w:r>
      <w:r>
        <w:rPr>
          <w:rFonts w:ascii="Arial" w:hAnsi="Arial" w:eastAsia="仿宋_GB2312" w:cs="Arial"/>
          <w:b/>
          <w:bCs/>
          <w:kern w:val="0"/>
          <w:sz w:val="32"/>
          <w:szCs w:val="32"/>
          <w:lang w:eastAsia="zh-CN"/>
        </w:rPr>
        <w:t>：</w:t>
      </w:r>
      <w:r>
        <w:rPr>
          <w:rFonts w:hint="eastAsia" w:ascii="Arial" w:hAnsi="Arial" w:eastAsia="仿宋_GB2312" w:cs="Arial"/>
          <w:kern w:val="0"/>
          <w:sz w:val="32"/>
          <w:szCs w:val="32"/>
          <w:lang w:eastAsia="zh-CN"/>
        </w:rPr>
        <w:t>半导体晶体圆形片的简称，其为圆柱状半导体晶体的薄切片，用于集成电路制程中作为载体基片</w:t>
      </w:r>
      <w:r>
        <w:rPr>
          <w:rFonts w:ascii="Arial" w:hAnsi="Arial" w:eastAsia="仿宋_GB2312" w:cs="Arial"/>
          <w:kern w:val="0"/>
          <w:sz w:val="32"/>
          <w:szCs w:val="32"/>
          <w:lang w:eastAsia="zh-CN"/>
        </w:rPr>
        <w:t>。</w:t>
      </w:r>
    </w:p>
    <w:p>
      <w:pPr>
        <w:pStyle w:val="17"/>
        <w:widowControl/>
        <w:autoSpaceDE w:val="0"/>
        <w:autoSpaceDN w:val="0"/>
        <w:adjustRightInd w:val="0"/>
        <w:snapToGrid w:val="0"/>
        <w:spacing w:before="624" w:beforeLines="200" w:after="624" w:afterLines="200" w:line="360" w:lineRule="auto"/>
        <w:ind w:left="0" w:firstLine="642" w:firstLineChars="200"/>
        <w:rPr>
          <w:rFonts w:ascii="Arial" w:hAnsi="Arial" w:eastAsia="仿宋_GB2312" w:cs="Arial"/>
          <w:kern w:val="0"/>
          <w:sz w:val="32"/>
          <w:szCs w:val="32"/>
          <w:lang w:eastAsia="zh-CN"/>
        </w:rPr>
      </w:pPr>
      <w:bookmarkStart w:id="3" w:name="OLE_LINK13"/>
      <w:bookmarkStart w:id="4" w:name="OLE_LINK14"/>
      <w:r>
        <w:rPr>
          <w:rFonts w:hint="eastAsia" w:ascii="Arial" w:hAnsi="Arial" w:eastAsia="仿宋_GB2312" w:cs="Arial"/>
          <w:b/>
          <w:bCs/>
          <w:kern w:val="0"/>
          <w:sz w:val="32"/>
          <w:szCs w:val="32"/>
          <w:lang w:eastAsia="zh-CN"/>
        </w:rPr>
        <w:t>区熔法</w:t>
      </w:r>
      <w:bookmarkEnd w:id="3"/>
      <w:bookmarkEnd w:id="4"/>
      <w:r>
        <w:rPr>
          <w:rFonts w:hint="eastAsia" w:ascii="Arial" w:hAnsi="Arial" w:eastAsia="仿宋_GB2312" w:cs="Arial"/>
          <w:b/>
          <w:bCs/>
          <w:kern w:val="0"/>
          <w:sz w:val="32"/>
          <w:szCs w:val="32"/>
          <w:lang w:eastAsia="zh-CN"/>
        </w:rPr>
        <w:t>：</w:t>
      </w:r>
      <w:r>
        <w:rPr>
          <w:rFonts w:hint="eastAsia" w:ascii="Arial" w:hAnsi="Arial" w:eastAsia="仿宋_GB2312" w:cs="Arial"/>
          <w:kern w:val="0"/>
          <w:sz w:val="32"/>
          <w:szCs w:val="32"/>
          <w:lang w:eastAsia="zh-CN"/>
        </w:rPr>
        <w:t>一种晶体制作工艺，指将圆柱形多晶硅块安装至感应线圈，使用无线电频率电磁场帮助硅块从下端开始融化，通过控制电磁场使液态硅从感应线圈上的小孔流至下方形成单晶体。</w:t>
      </w:r>
    </w:p>
    <w:p>
      <w:pPr>
        <w:pStyle w:val="17"/>
        <w:widowControl/>
        <w:autoSpaceDE w:val="0"/>
        <w:autoSpaceDN w:val="0"/>
        <w:adjustRightInd w:val="0"/>
        <w:snapToGrid w:val="0"/>
        <w:spacing w:before="624" w:beforeLines="200" w:after="624" w:afterLines="200" w:line="360" w:lineRule="auto"/>
        <w:ind w:left="0" w:firstLine="642" w:firstLineChars="200"/>
        <w:rPr>
          <w:rFonts w:ascii="Arial" w:hAnsi="Arial" w:eastAsia="仿宋_GB2312" w:cs="Arial"/>
          <w:kern w:val="0"/>
          <w:sz w:val="32"/>
          <w:szCs w:val="32"/>
          <w:lang w:eastAsia="zh-CN"/>
        </w:rPr>
      </w:pPr>
      <w:r>
        <w:rPr>
          <w:rFonts w:hint="eastAsia" w:ascii="Arial" w:hAnsi="Arial" w:eastAsia="仿宋_GB2312" w:cs="Arial"/>
          <w:b/>
          <w:bCs/>
          <w:kern w:val="0"/>
          <w:sz w:val="32"/>
          <w:szCs w:val="32"/>
          <w:lang w:eastAsia="zh-CN"/>
        </w:rPr>
        <w:t>剥离业务：</w:t>
      </w:r>
      <w:r>
        <w:rPr>
          <w:rFonts w:hint="eastAsia" w:ascii="Arial" w:hAnsi="Arial" w:eastAsia="仿宋_GB2312" w:cs="Arial"/>
          <w:kern w:val="0"/>
          <w:sz w:val="32"/>
          <w:szCs w:val="32"/>
          <w:lang w:eastAsia="zh-CN"/>
        </w:rPr>
        <w:t>环球晶圆目前从事的区熔法晶圆业务（即丹麦</w:t>
      </w:r>
      <w:r>
        <w:rPr>
          <w:rFonts w:ascii="Arial" w:hAnsi="Arial" w:eastAsia="仿宋_GB2312" w:cs="Arial"/>
          <w:kern w:val="0"/>
          <w:sz w:val="32"/>
          <w:szCs w:val="32"/>
          <w:lang w:eastAsia="zh-CN"/>
        </w:rPr>
        <w:t>Topsil GlobalWafers A/S</w:t>
      </w:r>
      <w:r>
        <w:rPr>
          <w:rFonts w:hint="eastAsia" w:ascii="Arial" w:hAnsi="Arial" w:eastAsia="仿宋_GB2312" w:cs="Arial"/>
          <w:kern w:val="0"/>
          <w:sz w:val="32"/>
          <w:szCs w:val="32"/>
          <w:lang w:eastAsia="zh-CN"/>
        </w:rPr>
        <w:t>（拓谱公司）目前于丹麦所经营的业务）。</w:t>
      </w:r>
    </w:p>
    <w:p>
      <w:pPr>
        <w:pStyle w:val="17"/>
        <w:widowControl/>
        <w:autoSpaceDE w:val="0"/>
        <w:autoSpaceDN w:val="0"/>
        <w:adjustRightInd w:val="0"/>
        <w:snapToGrid w:val="0"/>
        <w:spacing w:before="624" w:beforeLines="200" w:after="624" w:afterLines="200" w:line="360" w:lineRule="auto"/>
        <w:ind w:left="0" w:firstLine="642" w:firstLineChars="200"/>
        <w:rPr>
          <w:rFonts w:ascii="Arial" w:hAnsi="Arial" w:eastAsia="仿宋_GB2312" w:cs="Arial"/>
          <w:kern w:val="0"/>
          <w:sz w:val="32"/>
          <w:szCs w:val="32"/>
          <w:lang w:eastAsia="zh-CN"/>
        </w:rPr>
      </w:pPr>
      <w:r>
        <w:rPr>
          <w:rFonts w:hint="eastAsia" w:ascii="Arial" w:hAnsi="Arial" w:eastAsia="仿宋_GB2312" w:cs="Arial"/>
          <w:b/>
          <w:bCs/>
          <w:kern w:val="0"/>
          <w:sz w:val="32"/>
          <w:szCs w:val="32"/>
          <w:lang w:eastAsia="zh-CN"/>
        </w:rPr>
        <w:t>人员：</w:t>
      </w:r>
      <w:r>
        <w:rPr>
          <w:rFonts w:hint="eastAsia" w:ascii="Arial" w:hAnsi="Arial" w:eastAsia="仿宋_GB2312" w:cs="Arial"/>
          <w:kern w:val="0"/>
          <w:sz w:val="32"/>
          <w:szCs w:val="32"/>
          <w:lang w:eastAsia="zh-CN"/>
        </w:rPr>
        <w:t>剥离业务目前雇用的所有人员（具体见附录5）。</w:t>
      </w:r>
    </w:p>
    <w:p>
      <w:pPr>
        <w:pStyle w:val="17"/>
        <w:widowControl/>
        <w:autoSpaceDE w:val="0"/>
        <w:autoSpaceDN w:val="0"/>
        <w:adjustRightInd w:val="0"/>
        <w:snapToGrid w:val="0"/>
        <w:spacing w:before="624" w:beforeLines="200" w:after="624" w:afterLines="200" w:line="360" w:lineRule="auto"/>
        <w:ind w:left="0" w:firstLine="642" w:firstLineChars="200"/>
        <w:rPr>
          <w:rFonts w:ascii="Arial" w:hAnsi="Arial" w:eastAsia="仿宋_GB2312" w:cs="Arial"/>
          <w:kern w:val="0"/>
          <w:sz w:val="32"/>
          <w:szCs w:val="32"/>
          <w:lang w:eastAsia="zh-CN"/>
        </w:rPr>
      </w:pPr>
      <w:r>
        <w:rPr>
          <w:rFonts w:hint="eastAsia" w:ascii="Arial" w:hAnsi="Arial" w:eastAsia="仿宋_GB2312" w:cs="Arial"/>
          <w:b/>
          <w:bCs/>
          <w:kern w:val="0"/>
          <w:sz w:val="32"/>
          <w:szCs w:val="32"/>
          <w:lang w:eastAsia="zh-CN"/>
        </w:rPr>
        <w:t>关键人员：</w:t>
      </w:r>
      <w:bookmarkStart w:id="5" w:name="_Hlk83313543"/>
      <w:r>
        <w:rPr>
          <w:rFonts w:hint="eastAsia" w:ascii="Arial" w:hAnsi="Arial" w:eastAsia="仿宋_GB2312" w:cs="Arial"/>
          <w:kern w:val="0"/>
          <w:sz w:val="32"/>
          <w:szCs w:val="32"/>
          <w:lang w:eastAsia="zh-CN"/>
        </w:rPr>
        <w:t>为维持剥离业务的存续性和竞争性所必需的所有人员，包括保持独立管理人</w:t>
      </w:r>
      <w:bookmarkEnd w:id="5"/>
      <w:r>
        <w:rPr>
          <w:rFonts w:hint="eastAsia" w:ascii="Arial" w:hAnsi="Arial" w:eastAsia="仿宋_GB2312" w:cs="Arial"/>
          <w:kern w:val="0"/>
          <w:sz w:val="32"/>
          <w:szCs w:val="32"/>
          <w:lang w:eastAsia="zh-CN"/>
        </w:rPr>
        <w:t>。</w:t>
      </w:r>
    </w:p>
    <w:p>
      <w:pPr>
        <w:pStyle w:val="17"/>
        <w:widowControl/>
        <w:autoSpaceDE w:val="0"/>
        <w:autoSpaceDN w:val="0"/>
        <w:adjustRightInd w:val="0"/>
        <w:snapToGrid w:val="0"/>
        <w:spacing w:before="624" w:beforeLines="200" w:after="624" w:afterLines="200" w:line="360" w:lineRule="auto"/>
        <w:ind w:left="0" w:firstLine="642" w:firstLineChars="200"/>
        <w:rPr>
          <w:rFonts w:ascii="Arial" w:hAnsi="Arial" w:eastAsia="仿宋_GB2312" w:cs="Arial"/>
          <w:kern w:val="0"/>
          <w:sz w:val="32"/>
          <w:szCs w:val="32"/>
          <w:lang w:eastAsia="zh-CN"/>
        </w:rPr>
      </w:pPr>
      <w:r>
        <w:rPr>
          <w:rFonts w:hint="eastAsia" w:ascii="Arial" w:hAnsi="Arial" w:eastAsia="仿宋_GB2312" w:cs="Arial"/>
          <w:b/>
          <w:bCs/>
          <w:kern w:val="0"/>
          <w:sz w:val="32"/>
          <w:szCs w:val="32"/>
          <w:lang w:eastAsia="zh-CN"/>
        </w:rPr>
        <w:t>保密信息：</w:t>
      </w:r>
      <w:r>
        <w:rPr>
          <w:rFonts w:hint="eastAsia" w:ascii="Arial" w:hAnsi="Arial" w:eastAsia="仿宋_GB2312" w:cs="Arial"/>
          <w:kern w:val="0"/>
          <w:sz w:val="32"/>
          <w:szCs w:val="32"/>
          <w:lang w:eastAsia="zh-CN"/>
        </w:rPr>
        <w:t>任何无法在公开领域获得的商业秘密、技术诀窍、商业信息或具有专有性质的任何其他信息。</w:t>
      </w:r>
    </w:p>
    <w:p>
      <w:pPr>
        <w:pStyle w:val="17"/>
        <w:widowControl/>
        <w:autoSpaceDE w:val="0"/>
        <w:autoSpaceDN w:val="0"/>
        <w:adjustRightInd w:val="0"/>
        <w:snapToGrid w:val="0"/>
        <w:spacing w:before="624" w:beforeLines="200" w:after="624" w:afterLines="200" w:line="360" w:lineRule="auto"/>
        <w:ind w:left="0" w:firstLine="642" w:firstLineChars="200"/>
        <w:rPr>
          <w:rFonts w:ascii="Arial" w:hAnsi="Arial" w:eastAsia="仿宋_GB2312" w:cs="Arial"/>
          <w:kern w:val="0"/>
          <w:sz w:val="32"/>
          <w:szCs w:val="32"/>
          <w:lang w:eastAsia="zh-CN"/>
        </w:rPr>
      </w:pPr>
      <w:r>
        <w:rPr>
          <w:rFonts w:hint="eastAsia" w:ascii="Arial" w:hAnsi="Arial" w:eastAsia="仿宋_GB2312" w:cs="Arial"/>
          <w:b/>
          <w:bCs/>
          <w:kern w:val="0"/>
          <w:sz w:val="32"/>
          <w:szCs w:val="32"/>
          <w:lang w:eastAsia="zh-CN"/>
        </w:rPr>
        <w:t>剥离买方：</w:t>
      </w:r>
      <w:r>
        <w:rPr>
          <w:rFonts w:hint="eastAsia" w:ascii="Arial" w:hAnsi="Arial" w:eastAsia="仿宋_GB2312" w:cs="Arial"/>
          <w:kern w:val="0"/>
          <w:sz w:val="32"/>
          <w:szCs w:val="32"/>
          <w:lang w:eastAsia="zh-CN"/>
        </w:rPr>
        <w:t>市场监管总局批准的剥离业务的相应买方。</w:t>
      </w:r>
    </w:p>
    <w:p>
      <w:pPr>
        <w:pStyle w:val="17"/>
        <w:widowControl/>
        <w:autoSpaceDE w:val="0"/>
        <w:autoSpaceDN w:val="0"/>
        <w:adjustRightInd w:val="0"/>
        <w:snapToGrid w:val="0"/>
        <w:spacing w:before="624" w:beforeLines="200" w:after="624" w:afterLines="200" w:line="360" w:lineRule="auto"/>
        <w:ind w:left="0" w:firstLine="642" w:firstLineChars="200"/>
        <w:rPr>
          <w:rFonts w:ascii="Arial" w:hAnsi="Arial" w:eastAsia="仿宋_GB2312" w:cs="Arial"/>
          <w:kern w:val="0"/>
          <w:sz w:val="32"/>
          <w:szCs w:val="32"/>
          <w:lang w:eastAsia="zh-CN"/>
        </w:rPr>
      </w:pPr>
      <w:r>
        <w:rPr>
          <w:rFonts w:hint="eastAsia" w:ascii="Arial" w:hAnsi="Arial" w:eastAsia="仿宋_GB2312" w:cs="Arial"/>
          <w:b/>
          <w:bCs/>
          <w:kern w:val="0"/>
          <w:sz w:val="32"/>
          <w:szCs w:val="32"/>
          <w:lang w:eastAsia="zh-CN"/>
        </w:rPr>
        <w:t>购买协议：</w:t>
      </w:r>
      <w:r>
        <w:rPr>
          <w:rFonts w:hint="eastAsia" w:ascii="Arial" w:hAnsi="Arial" w:eastAsia="仿宋_GB2312" w:cs="Arial"/>
          <w:kern w:val="0"/>
          <w:sz w:val="32"/>
          <w:szCs w:val="32"/>
          <w:lang w:eastAsia="zh-CN"/>
        </w:rPr>
        <w:t>剥离买方承诺收购剥离业务的购买协议。</w:t>
      </w:r>
    </w:p>
    <w:p>
      <w:pPr>
        <w:pStyle w:val="17"/>
        <w:widowControl/>
        <w:autoSpaceDE w:val="0"/>
        <w:autoSpaceDN w:val="0"/>
        <w:adjustRightInd w:val="0"/>
        <w:snapToGrid w:val="0"/>
        <w:spacing w:before="624" w:beforeLines="200" w:after="624" w:afterLines="200" w:line="360" w:lineRule="auto"/>
        <w:ind w:left="0" w:firstLine="642" w:firstLineChars="200"/>
        <w:rPr>
          <w:rFonts w:ascii="Arial" w:hAnsi="Arial" w:eastAsia="仿宋_GB2312" w:cs="Arial"/>
          <w:kern w:val="0"/>
          <w:sz w:val="32"/>
          <w:szCs w:val="32"/>
          <w:lang w:eastAsia="zh-CN"/>
        </w:rPr>
      </w:pPr>
      <w:r>
        <w:rPr>
          <w:rFonts w:hint="eastAsia" w:ascii="Arial" w:hAnsi="Arial" w:eastAsia="仿宋_GB2312" w:cs="Arial"/>
          <w:b/>
          <w:bCs/>
          <w:kern w:val="0"/>
          <w:sz w:val="32"/>
          <w:szCs w:val="32"/>
          <w:lang w:eastAsia="zh-CN"/>
        </w:rPr>
        <w:t>交割：</w:t>
      </w:r>
      <w:r>
        <w:rPr>
          <w:rFonts w:hint="eastAsia" w:ascii="Arial" w:hAnsi="Arial" w:eastAsia="仿宋_GB2312" w:cs="Arial"/>
          <w:kern w:val="0"/>
          <w:sz w:val="32"/>
          <w:szCs w:val="32"/>
          <w:lang w:eastAsia="zh-CN"/>
        </w:rPr>
        <w:t>向剥离买方转让剥离业务的法定所有权及资产。</w:t>
      </w:r>
    </w:p>
    <w:p>
      <w:pPr>
        <w:pStyle w:val="17"/>
        <w:widowControl/>
        <w:autoSpaceDE w:val="0"/>
        <w:autoSpaceDN w:val="0"/>
        <w:adjustRightInd w:val="0"/>
        <w:snapToGrid w:val="0"/>
        <w:spacing w:before="624" w:beforeLines="200" w:after="624" w:afterLines="200" w:line="360" w:lineRule="auto"/>
        <w:ind w:left="0" w:firstLine="642" w:firstLineChars="200"/>
        <w:rPr>
          <w:rFonts w:ascii="Arial" w:hAnsi="Arial" w:eastAsia="仿宋_GB2312" w:cs="Arial"/>
          <w:kern w:val="0"/>
          <w:sz w:val="32"/>
          <w:szCs w:val="32"/>
          <w:lang w:eastAsia="zh-CN"/>
        </w:rPr>
      </w:pPr>
      <w:r>
        <w:rPr>
          <w:rFonts w:hint="eastAsia" w:ascii="Arial" w:hAnsi="Arial" w:eastAsia="仿宋_GB2312" w:cs="Arial"/>
          <w:b/>
          <w:bCs/>
          <w:kern w:val="0"/>
          <w:sz w:val="32"/>
          <w:szCs w:val="32"/>
          <w:lang w:eastAsia="zh-CN"/>
        </w:rPr>
        <w:t>保持独立管理人：</w:t>
      </w:r>
      <w:r>
        <w:rPr>
          <w:rFonts w:hint="eastAsia" w:ascii="Arial" w:hAnsi="Arial" w:eastAsia="仿宋_GB2312" w:cs="Arial"/>
          <w:kern w:val="0"/>
          <w:sz w:val="32"/>
          <w:szCs w:val="32"/>
          <w:lang w:eastAsia="zh-CN"/>
        </w:rPr>
        <w:t>由环球晶圆与集中后实体任命并在监督受托人的监督下管理剥离业务日常经营的人员。</w:t>
      </w:r>
    </w:p>
    <w:p>
      <w:pPr>
        <w:pStyle w:val="17"/>
        <w:widowControl/>
        <w:autoSpaceDE w:val="0"/>
        <w:autoSpaceDN w:val="0"/>
        <w:adjustRightInd w:val="0"/>
        <w:snapToGrid w:val="0"/>
        <w:spacing w:before="624" w:beforeLines="200" w:after="624" w:afterLines="200" w:line="360" w:lineRule="auto"/>
        <w:ind w:left="0" w:firstLine="642" w:firstLineChars="200"/>
        <w:rPr>
          <w:rFonts w:ascii="Arial" w:hAnsi="Arial" w:eastAsia="仿宋_GB2312" w:cs="Arial"/>
          <w:kern w:val="0"/>
          <w:sz w:val="32"/>
          <w:szCs w:val="32"/>
          <w:lang w:eastAsia="zh-CN"/>
        </w:rPr>
      </w:pPr>
      <w:r>
        <w:rPr>
          <w:rFonts w:hint="eastAsia" w:ascii="Arial" w:hAnsi="Arial" w:eastAsia="仿宋_GB2312" w:cs="Arial"/>
          <w:b/>
          <w:bCs/>
          <w:kern w:val="0"/>
          <w:sz w:val="32"/>
          <w:szCs w:val="32"/>
          <w:lang w:eastAsia="zh-CN"/>
        </w:rPr>
        <w:t>监督受托人：</w:t>
      </w:r>
      <w:r>
        <w:rPr>
          <w:rFonts w:hint="eastAsia" w:ascii="Arial" w:hAnsi="Arial" w:eastAsia="仿宋_GB2312" w:cs="Arial"/>
          <w:kern w:val="0"/>
          <w:sz w:val="32"/>
          <w:szCs w:val="32"/>
          <w:lang w:eastAsia="zh-CN"/>
        </w:rPr>
        <w:t>指符合《经营者集中审查暂行规定》第三十六条的规定，由交易双方和集中后实体委托并经市场监管总局评估确定，负责对交易双方和集中后实体实施限制性条件进行</w:t>
      </w:r>
      <w:r>
        <w:rPr>
          <w:rFonts w:ascii="Arial" w:hAnsi="Arial" w:eastAsia="仿宋_GB2312" w:cs="Arial"/>
          <w:kern w:val="0"/>
          <w:sz w:val="32"/>
          <w:szCs w:val="32"/>
          <w:lang w:eastAsia="zh-CN"/>
        </w:rPr>
        <w:t>监督</w:t>
      </w:r>
      <w:r>
        <w:rPr>
          <w:rFonts w:hint="eastAsia" w:ascii="Arial" w:hAnsi="Arial" w:eastAsia="仿宋_GB2312" w:cs="Arial"/>
          <w:kern w:val="0"/>
          <w:sz w:val="32"/>
          <w:szCs w:val="32"/>
          <w:lang w:eastAsia="zh-CN"/>
        </w:rPr>
        <w:t>并向市场监管总局报告的自然人、法人或其他组织。</w:t>
      </w:r>
    </w:p>
    <w:p>
      <w:pPr>
        <w:pStyle w:val="17"/>
        <w:widowControl/>
        <w:autoSpaceDE w:val="0"/>
        <w:autoSpaceDN w:val="0"/>
        <w:adjustRightInd w:val="0"/>
        <w:snapToGrid w:val="0"/>
        <w:spacing w:before="624" w:beforeLines="200" w:after="624" w:afterLines="200" w:line="360" w:lineRule="auto"/>
        <w:ind w:left="0" w:firstLine="642" w:firstLineChars="200"/>
        <w:rPr>
          <w:rFonts w:ascii="Arial" w:hAnsi="Arial" w:eastAsia="仿宋_GB2312" w:cs="Arial"/>
          <w:kern w:val="0"/>
          <w:sz w:val="32"/>
          <w:szCs w:val="32"/>
          <w:lang w:eastAsia="zh-CN"/>
        </w:rPr>
      </w:pPr>
      <w:r>
        <w:rPr>
          <w:rFonts w:hint="eastAsia" w:ascii="Arial" w:hAnsi="Arial" w:eastAsia="仿宋_GB2312" w:cs="Arial"/>
          <w:b/>
          <w:bCs/>
          <w:kern w:val="0"/>
          <w:sz w:val="32"/>
          <w:szCs w:val="32"/>
          <w:lang w:eastAsia="zh-CN"/>
        </w:rPr>
        <w:t>剥离受托人：</w:t>
      </w:r>
      <w:r>
        <w:rPr>
          <w:rFonts w:hint="eastAsia" w:ascii="Arial" w:hAnsi="Arial" w:eastAsia="仿宋_GB2312" w:cs="Arial"/>
          <w:kern w:val="0"/>
          <w:sz w:val="32"/>
          <w:szCs w:val="32"/>
          <w:lang w:eastAsia="zh-CN"/>
        </w:rPr>
        <w:t>指符合《经营者集中审查暂行规定》第三十六条的规定，由交易双方和集中后实体委托并经市场监管总局评估确定，在受托剥离阶段负责出售剥离业务并向市场监管总局报告的自然人、法人或者其他组织。</w:t>
      </w:r>
    </w:p>
    <w:p>
      <w:pPr>
        <w:pStyle w:val="17"/>
        <w:widowControl/>
        <w:autoSpaceDE w:val="0"/>
        <w:autoSpaceDN w:val="0"/>
        <w:adjustRightInd w:val="0"/>
        <w:snapToGrid w:val="0"/>
        <w:spacing w:before="624" w:beforeLines="200" w:after="624" w:afterLines="200" w:line="360" w:lineRule="auto"/>
        <w:ind w:left="0" w:firstLine="642" w:firstLineChars="200"/>
        <w:rPr>
          <w:rFonts w:ascii="Arial" w:hAnsi="Arial" w:eastAsia="仿宋_GB2312" w:cs="Arial"/>
          <w:kern w:val="0"/>
          <w:sz w:val="32"/>
          <w:szCs w:val="32"/>
          <w:lang w:eastAsia="zh-CN"/>
        </w:rPr>
      </w:pPr>
      <w:r>
        <w:rPr>
          <w:rFonts w:hint="eastAsia" w:ascii="Arial" w:hAnsi="Arial" w:eastAsia="仿宋_GB2312" w:cs="Arial"/>
          <w:b/>
          <w:bCs/>
          <w:kern w:val="0"/>
          <w:sz w:val="32"/>
          <w:szCs w:val="32"/>
          <w:lang w:eastAsia="zh-CN"/>
        </w:rPr>
        <w:t>审查决</w:t>
      </w:r>
      <w:r>
        <w:rPr>
          <w:rFonts w:ascii="Arial" w:hAnsi="Arial" w:eastAsia="仿宋_GB2312" w:cs="Arial"/>
          <w:b/>
          <w:bCs/>
          <w:kern w:val="0"/>
          <w:sz w:val="32"/>
          <w:szCs w:val="32"/>
          <w:lang w:eastAsia="zh-CN"/>
        </w:rPr>
        <w:t>定：</w:t>
      </w:r>
      <w:r>
        <w:rPr>
          <w:rFonts w:ascii="Arial" w:hAnsi="Arial" w:eastAsia="仿宋_GB2312" w:cs="Arial"/>
          <w:kern w:val="0"/>
          <w:sz w:val="32"/>
          <w:szCs w:val="32"/>
          <w:lang w:eastAsia="zh-CN"/>
        </w:rPr>
        <w:t>市场监管总局附加限制性条件批准</w:t>
      </w:r>
      <w:r>
        <w:rPr>
          <w:rFonts w:hint="eastAsia" w:ascii="Arial" w:hAnsi="Arial" w:eastAsia="仿宋_GB2312" w:cs="Arial"/>
          <w:kern w:val="0"/>
          <w:sz w:val="32"/>
          <w:szCs w:val="32"/>
          <w:lang w:eastAsia="zh-CN"/>
        </w:rPr>
        <w:t>拟议交易</w:t>
      </w:r>
      <w:r>
        <w:rPr>
          <w:rFonts w:ascii="Arial" w:hAnsi="Arial" w:eastAsia="仿宋_GB2312" w:cs="Arial"/>
          <w:kern w:val="0"/>
          <w:sz w:val="32"/>
          <w:szCs w:val="32"/>
          <w:lang w:eastAsia="zh-CN"/>
        </w:rPr>
        <w:t>的</w:t>
      </w:r>
      <w:r>
        <w:rPr>
          <w:rFonts w:hint="eastAsia" w:ascii="Arial" w:hAnsi="Arial" w:eastAsia="仿宋_GB2312" w:cs="Arial"/>
          <w:kern w:val="0"/>
          <w:sz w:val="32"/>
          <w:szCs w:val="32"/>
          <w:lang w:eastAsia="zh-CN"/>
        </w:rPr>
        <w:t>审查</w:t>
      </w:r>
      <w:r>
        <w:rPr>
          <w:rFonts w:ascii="Arial" w:hAnsi="Arial" w:eastAsia="仿宋_GB2312" w:cs="Arial"/>
          <w:kern w:val="0"/>
          <w:sz w:val="32"/>
          <w:szCs w:val="32"/>
          <w:lang w:eastAsia="zh-CN"/>
        </w:rPr>
        <w:t>决定。</w:t>
      </w:r>
    </w:p>
    <w:p>
      <w:pPr>
        <w:pStyle w:val="17"/>
        <w:widowControl/>
        <w:autoSpaceDE w:val="0"/>
        <w:autoSpaceDN w:val="0"/>
        <w:adjustRightInd w:val="0"/>
        <w:snapToGrid w:val="0"/>
        <w:spacing w:before="624" w:beforeLines="200" w:after="624" w:afterLines="200" w:line="360" w:lineRule="auto"/>
        <w:ind w:left="0" w:firstLine="642" w:firstLineChars="200"/>
        <w:rPr>
          <w:rFonts w:ascii="Arial" w:hAnsi="Arial" w:eastAsia="仿宋_GB2312" w:cs="Arial"/>
          <w:kern w:val="0"/>
          <w:sz w:val="32"/>
          <w:szCs w:val="32"/>
          <w:lang w:eastAsia="zh-CN"/>
        </w:rPr>
      </w:pPr>
      <w:r>
        <w:rPr>
          <w:rFonts w:ascii="Arial" w:hAnsi="Arial" w:eastAsia="仿宋_GB2312" w:cs="Arial"/>
          <w:b/>
          <w:bCs/>
          <w:kern w:val="0"/>
          <w:sz w:val="32"/>
          <w:szCs w:val="32"/>
          <w:lang w:eastAsia="zh-CN"/>
        </w:rPr>
        <w:t>生效日：</w:t>
      </w:r>
      <w:r>
        <w:rPr>
          <w:rFonts w:ascii="Arial" w:hAnsi="Arial" w:eastAsia="仿宋_GB2312" w:cs="Arial"/>
          <w:kern w:val="0"/>
          <w:sz w:val="32"/>
          <w:szCs w:val="32"/>
          <w:lang w:eastAsia="zh-CN"/>
        </w:rPr>
        <w:t>市场监管总局</w:t>
      </w:r>
      <w:r>
        <w:rPr>
          <w:rFonts w:hint="eastAsia" w:ascii="Arial" w:hAnsi="Arial" w:eastAsia="仿宋_GB2312" w:cs="Arial"/>
          <w:kern w:val="0"/>
          <w:sz w:val="32"/>
          <w:szCs w:val="32"/>
          <w:lang w:eastAsia="zh-CN"/>
        </w:rPr>
        <w:t>审查决定生效的日期</w:t>
      </w:r>
      <w:r>
        <w:rPr>
          <w:rFonts w:ascii="Arial" w:hAnsi="Arial" w:eastAsia="仿宋_GB2312" w:cs="Arial"/>
          <w:kern w:val="0"/>
          <w:sz w:val="32"/>
          <w:szCs w:val="32"/>
          <w:lang w:eastAsia="zh-CN"/>
        </w:rPr>
        <w:t>。</w:t>
      </w:r>
    </w:p>
    <w:p>
      <w:pPr>
        <w:pStyle w:val="17"/>
        <w:snapToGrid w:val="0"/>
        <w:spacing w:before="156" w:beforeLines="50" w:after="156" w:afterLines="50"/>
        <w:jc w:val="center"/>
        <w:rPr>
          <w:rFonts w:ascii="Arial" w:hAnsi="Arial" w:eastAsia="黑体" w:cs="Arial"/>
          <w:bCs/>
          <w:sz w:val="32"/>
          <w:szCs w:val="32"/>
          <w:lang w:eastAsia="zh-CN"/>
        </w:rPr>
      </w:pPr>
    </w:p>
    <w:p>
      <w:pPr>
        <w:pStyle w:val="17"/>
        <w:snapToGrid w:val="0"/>
        <w:spacing w:before="156" w:beforeLines="50" w:after="156" w:afterLines="50"/>
        <w:jc w:val="center"/>
        <w:rPr>
          <w:rFonts w:ascii="Arial" w:hAnsi="Arial" w:eastAsia="黑体" w:cs="Arial"/>
          <w:b/>
          <w:bCs/>
          <w:sz w:val="32"/>
          <w:szCs w:val="32"/>
          <w:lang w:eastAsia="zh-CN"/>
        </w:rPr>
      </w:pPr>
      <w:r>
        <w:rPr>
          <w:rFonts w:hint="eastAsia" w:ascii="Arial" w:hAnsi="Arial" w:eastAsia="黑体" w:cs="Arial"/>
          <w:b/>
          <w:bCs/>
          <w:sz w:val="32"/>
          <w:szCs w:val="32"/>
          <w:lang w:eastAsia="zh-CN"/>
        </w:rPr>
        <w:t>第二部分</w:t>
      </w:r>
      <w:r>
        <w:rPr>
          <w:rFonts w:ascii="Arial" w:hAnsi="Arial" w:eastAsia="黑体" w:cs="Arial"/>
          <w:b/>
          <w:bCs/>
          <w:sz w:val="32"/>
          <w:szCs w:val="32"/>
          <w:lang w:eastAsia="zh-CN"/>
        </w:rPr>
        <w:t xml:space="preserve"> </w:t>
      </w:r>
      <w:r>
        <w:rPr>
          <w:rFonts w:hint="eastAsia" w:ascii="Arial" w:hAnsi="Arial" w:eastAsia="黑体" w:cs="Arial"/>
          <w:b/>
          <w:bCs/>
          <w:sz w:val="32"/>
          <w:szCs w:val="32"/>
          <w:lang w:eastAsia="zh-CN"/>
        </w:rPr>
        <w:t>承诺内容</w:t>
      </w:r>
    </w:p>
    <w:p>
      <w:pPr>
        <w:pStyle w:val="17"/>
        <w:spacing w:before="156" w:beforeLines="50" w:after="156" w:afterLines="50"/>
        <w:ind w:left="0" w:firstLine="640" w:firstLineChars="200"/>
        <w:contextualSpacing w:val="0"/>
        <w:rPr>
          <w:rFonts w:ascii="Arial" w:hAnsi="Arial" w:eastAsia="仿宋_GB2312" w:cs="Arial"/>
          <w:sz w:val="32"/>
          <w:lang w:eastAsia="zh-CN"/>
        </w:rPr>
      </w:pPr>
      <w:r>
        <w:rPr>
          <w:rFonts w:hint="eastAsia" w:ascii="Arial" w:hAnsi="Arial" w:eastAsia="仿宋_GB2312" w:cs="Arial"/>
          <w:sz w:val="32"/>
          <w:szCs w:val="32"/>
          <w:lang w:eastAsia="zh-CN"/>
        </w:rPr>
        <w:t>一、</w:t>
      </w:r>
      <w:r>
        <w:rPr>
          <w:rFonts w:hint="eastAsia" w:ascii="Arial" w:hAnsi="Arial" w:eastAsia="仿宋_GB2312" w:cs="Arial"/>
          <w:sz w:val="32"/>
          <w:lang w:eastAsia="zh-CN"/>
        </w:rPr>
        <w:t>交易双方和集中后实体应按照公平、合理、无歧视的原则，继续向中国客户供应各类晶圆产品，包括但不限于：</w:t>
      </w:r>
      <w:r>
        <w:rPr>
          <w:rFonts w:ascii="Arial" w:hAnsi="Arial" w:eastAsia="仿宋_GB2312" w:cs="Arial"/>
          <w:sz w:val="32"/>
          <w:lang w:eastAsia="zh-CN"/>
        </w:rPr>
        <w:t xml:space="preserve"> </w:t>
      </w:r>
    </w:p>
    <w:p>
      <w:pPr>
        <w:pStyle w:val="17"/>
        <w:snapToGrid w:val="0"/>
        <w:spacing w:before="156" w:beforeLines="50" w:after="156" w:afterLines="50" w:line="360" w:lineRule="auto"/>
        <w:ind w:left="0"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1</w:t>
      </w:r>
      <w:r>
        <w:rPr>
          <w:rFonts w:ascii="Arial" w:hAnsi="Arial" w:eastAsia="仿宋_GB2312" w:cs="Arial"/>
          <w:sz w:val="32"/>
          <w:szCs w:val="32"/>
          <w:lang w:eastAsia="zh-CN"/>
        </w:rPr>
        <w:t xml:space="preserve">. </w:t>
      </w:r>
      <w:r>
        <w:rPr>
          <w:rFonts w:hint="eastAsia" w:ascii="Arial" w:hAnsi="Arial" w:eastAsia="仿宋_GB2312" w:cs="Arial"/>
          <w:sz w:val="32"/>
          <w:szCs w:val="32"/>
          <w:lang w:eastAsia="zh-CN"/>
        </w:rPr>
        <w:t>继续履行与客户签署的所有现行有效的商业协议（包括但不限于合同、备忘录）；</w:t>
      </w:r>
    </w:p>
    <w:p>
      <w:pPr>
        <w:pStyle w:val="17"/>
        <w:snapToGrid w:val="0"/>
        <w:spacing w:before="156" w:beforeLines="50" w:after="156" w:afterLines="50" w:line="360" w:lineRule="auto"/>
        <w:ind w:left="0" w:firstLine="640" w:firstLineChars="200"/>
        <w:rPr>
          <w:rFonts w:ascii="Arial" w:hAnsi="Arial" w:eastAsia="仿宋_GB2312" w:cs="Arial"/>
          <w:sz w:val="32"/>
          <w:szCs w:val="32"/>
          <w:lang w:eastAsia="zh-CN"/>
        </w:rPr>
      </w:pPr>
      <w:r>
        <w:rPr>
          <w:rFonts w:ascii="Arial" w:hAnsi="Arial" w:eastAsia="仿宋_GB2312" w:cs="Arial"/>
          <w:sz w:val="32"/>
          <w:szCs w:val="32"/>
          <w:lang w:eastAsia="zh-CN"/>
        </w:rPr>
        <w:t xml:space="preserve">2. </w:t>
      </w:r>
      <w:r>
        <w:rPr>
          <w:rFonts w:hint="eastAsia" w:ascii="Arial" w:hAnsi="Arial" w:eastAsia="仿宋_GB2312" w:cs="Arial"/>
          <w:sz w:val="32"/>
          <w:szCs w:val="32"/>
          <w:lang w:eastAsia="zh-CN"/>
        </w:rPr>
        <w:t>合同期满后，如果中国客户希望续签合同，集中后实体无正当理由不得拒绝，且续签条件不得低于原合同。</w:t>
      </w:r>
    </w:p>
    <w:p>
      <w:pPr>
        <w:pStyle w:val="17"/>
        <w:snapToGrid w:val="0"/>
        <w:spacing w:before="156" w:beforeLines="50" w:after="156" w:afterLines="50" w:line="360" w:lineRule="auto"/>
        <w:ind w:left="0" w:firstLine="640" w:firstLineChars="200"/>
        <w:rPr>
          <w:rFonts w:ascii="Arial" w:hAnsi="Arial" w:eastAsia="仿宋_GB2312" w:cs="Arial"/>
          <w:sz w:val="32"/>
          <w:szCs w:val="32"/>
          <w:lang w:eastAsia="zh-CN"/>
        </w:rPr>
      </w:pPr>
      <w:r>
        <w:rPr>
          <w:rFonts w:ascii="Arial" w:hAnsi="Arial" w:eastAsia="仿宋_GB2312" w:cs="Arial"/>
          <w:sz w:val="32"/>
          <w:szCs w:val="32"/>
          <w:lang w:eastAsia="zh-CN"/>
        </w:rPr>
        <w:t xml:space="preserve">3. </w:t>
      </w:r>
      <w:r>
        <w:rPr>
          <w:rFonts w:hint="eastAsia" w:ascii="Arial" w:hAnsi="Arial" w:eastAsia="仿宋_GB2312" w:cs="Arial"/>
          <w:sz w:val="32"/>
          <w:szCs w:val="32"/>
          <w:lang w:eastAsia="zh-CN"/>
        </w:rPr>
        <w:t>在同等条件下，不得就价格、质量、数量和交货期、</w:t>
      </w:r>
      <w:bookmarkStart w:id="6" w:name="OLE_LINK20"/>
      <w:bookmarkStart w:id="7" w:name="OLE_LINK19"/>
      <w:r>
        <w:rPr>
          <w:rFonts w:hint="eastAsia" w:ascii="Arial" w:hAnsi="Arial" w:eastAsia="仿宋_GB2312" w:cs="Arial"/>
          <w:sz w:val="32"/>
          <w:szCs w:val="32"/>
          <w:lang w:eastAsia="zh-CN"/>
        </w:rPr>
        <w:t>售后</w:t>
      </w:r>
      <w:bookmarkEnd w:id="6"/>
      <w:bookmarkEnd w:id="7"/>
      <w:r>
        <w:rPr>
          <w:rFonts w:hint="eastAsia" w:ascii="Arial" w:hAnsi="Arial" w:eastAsia="仿宋_GB2312" w:cs="Arial"/>
          <w:sz w:val="32"/>
          <w:szCs w:val="32"/>
          <w:lang w:eastAsia="zh-CN"/>
        </w:rPr>
        <w:t>服务等交易条件对中国客户实施差别待遇；</w:t>
      </w:r>
    </w:p>
    <w:p>
      <w:pPr>
        <w:pStyle w:val="17"/>
        <w:snapToGrid w:val="0"/>
        <w:spacing w:before="156" w:beforeLines="50" w:after="156" w:afterLines="50" w:line="360" w:lineRule="auto"/>
        <w:ind w:left="0" w:firstLine="640" w:firstLineChars="200"/>
        <w:rPr>
          <w:rFonts w:ascii="Arial" w:hAnsi="Arial" w:eastAsia="仿宋_GB2312" w:cs="Arial"/>
          <w:sz w:val="32"/>
          <w:szCs w:val="32"/>
          <w:lang w:eastAsia="zh-CN"/>
        </w:rPr>
      </w:pPr>
      <w:r>
        <w:rPr>
          <w:rFonts w:ascii="Arial" w:hAnsi="Arial" w:eastAsia="仿宋_GB2312" w:cs="Arial"/>
          <w:sz w:val="32"/>
          <w:szCs w:val="32"/>
          <w:lang w:eastAsia="zh-CN"/>
        </w:rPr>
        <w:t xml:space="preserve">4. </w:t>
      </w:r>
      <w:r>
        <w:rPr>
          <w:rFonts w:hint="eastAsia" w:ascii="Arial" w:hAnsi="Arial" w:eastAsia="仿宋_GB2312" w:cs="Arial"/>
          <w:sz w:val="32"/>
          <w:szCs w:val="32"/>
          <w:lang w:eastAsia="zh-CN"/>
        </w:rPr>
        <w:t>不得拒绝、限制或拖延对中国客户提供的产品及服务，或附加任何其他不合理的交易条件；</w:t>
      </w:r>
    </w:p>
    <w:p>
      <w:pPr>
        <w:pStyle w:val="17"/>
        <w:snapToGrid w:val="0"/>
        <w:spacing w:before="156" w:beforeLines="50" w:after="156" w:afterLines="50" w:line="360" w:lineRule="auto"/>
        <w:ind w:left="0" w:firstLine="640" w:firstLineChars="200"/>
        <w:rPr>
          <w:rFonts w:ascii="Arial" w:hAnsi="Arial" w:eastAsia="仿宋_GB2312" w:cs="Arial"/>
          <w:sz w:val="32"/>
          <w:szCs w:val="32"/>
          <w:lang w:eastAsia="zh-CN"/>
        </w:rPr>
      </w:pPr>
      <w:r>
        <w:rPr>
          <w:rFonts w:ascii="Arial" w:hAnsi="Arial" w:eastAsia="仿宋_GB2312" w:cs="Arial"/>
          <w:sz w:val="32"/>
          <w:szCs w:val="32"/>
          <w:lang w:eastAsia="zh-CN"/>
        </w:rPr>
        <w:t>5</w:t>
      </w:r>
      <w:r>
        <w:rPr>
          <w:rFonts w:hint="eastAsia" w:ascii="Arial" w:hAnsi="Arial" w:eastAsia="仿宋_GB2312" w:cs="Arial"/>
          <w:sz w:val="32"/>
          <w:szCs w:val="32"/>
          <w:lang w:eastAsia="zh-CN"/>
        </w:rPr>
        <w:t>．在同等条件下，确保对中国客户的服务水平不在任何方面低于本次交易前的服务水平。</w:t>
      </w:r>
    </w:p>
    <w:p>
      <w:pPr>
        <w:pStyle w:val="17"/>
        <w:snapToGrid w:val="0"/>
        <w:spacing w:before="156" w:beforeLines="50" w:after="156" w:afterLines="50" w:line="360" w:lineRule="auto"/>
        <w:ind w:left="0" w:firstLine="640" w:firstLineChars="200"/>
        <w:rPr>
          <w:rFonts w:ascii="Arial" w:hAnsi="Arial" w:eastAsia="仿宋_GB2312" w:cs="Arial"/>
          <w:sz w:val="32"/>
          <w:szCs w:val="32"/>
          <w:lang w:eastAsia="zh-CN"/>
        </w:rPr>
      </w:pPr>
    </w:p>
    <w:p>
      <w:pPr>
        <w:pStyle w:val="17"/>
        <w:ind w:left="0" w:firstLine="640" w:firstLineChars="200"/>
        <w:contextualSpacing w:val="0"/>
        <w:rPr>
          <w:rFonts w:ascii="Arial" w:hAnsi="Arial" w:eastAsia="仿宋_GB2312" w:cs="Arial"/>
          <w:sz w:val="32"/>
          <w:szCs w:val="32"/>
          <w:lang w:eastAsia="zh-CN"/>
        </w:rPr>
      </w:pPr>
      <w:bookmarkStart w:id="8" w:name="_Hlk81915744"/>
      <w:r>
        <w:rPr>
          <w:rFonts w:hint="eastAsia" w:ascii="Arial" w:hAnsi="Arial" w:eastAsia="仿宋_GB2312" w:cs="Arial"/>
          <w:sz w:val="32"/>
          <w:szCs w:val="32"/>
          <w:lang w:eastAsia="zh-CN"/>
        </w:rPr>
        <w:t>二、</w:t>
      </w:r>
      <w:bookmarkEnd w:id="8"/>
      <w:r>
        <w:rPr>
          <w:rFonts w:hint="eastAsia" w:ascii="Arial" w:hAnsi="Arial" w:eastAsia="仿宋_GB2312" w:cs="Arial"/>
          <w:sz w:val="32"/>
          <w:szCs w:val="32"/>
          <w:lang w:eastAsia="zh-CN"/>
        </w:rPr>
        <w:t>交易双方和集中后实体将对其相关管理人员和员工进行持续的培训，并采取必要措施，确保承诺方案的落实。具体而言：</w:t>
      </w:r>
    </w:p>
    <w:p>
      <w:pPr>
        <w:pStyle w:val="17"/>
        <w:snapToGrid w:val="0"/>
        <w:spacing w:before="156" w:beforeLines="50" w:after="156" w:afterLines="50" w:line="360" w:lineRule="auto"/>
        <w:ind w:left="0" w:firstLine="640" w:firstLineChars="200"/>
        <w:rPr>
          <w:rFonts w:ascii="Arial" w:hAnsi="Arial" w:eastAsia="仿宋_GB2312" w:cs="Arial"/>
          <w:sz w:val="32"/>
          <w:szCs w:val="32"/>
          <w:lang w:eastAsia="zh-CN"/>
        </w:rPr>
      </w:pPr>
      <w:bookmarkStart w:id="9" w:name="_Hlk43404073"/>
      <w:r>
        <w:rPr>
          <w:rFonts w:hint="eastAsia" w:ascii="Arial" w:hAnsi="Arial" w:eastAsia="仿宋_GB2312" w:cs="Arial"/>
          <w:sz w:val="32"/>
          <w:szCs w:val="32"/>
          <w:lang w:eastAsia="zh-CN"/>
        </w:rPr>
        <w:t>1</w:t>
      </w:r>
      <w:r>
        <w:rPr>
          <w:rFonts w:ascii="Arial" w:hAnsi="Arial" w:eastAsia="仿宋_GB2312" w:cs="Arial"/>
          <w:sz w:val="32"/>
          <w:szCs w:val="32"/>
          <w:lang w:eastAsia="zh-CN"/>
        </w:rPr>
        <w:t xml:space="preserve">. </w:t>
      </w:r>
      <w:r>
        <w:rPr>
          <w:rFonts w:hint="eastAsia" w:ascii="Arial" w:hAnsi="Arial" w:eastAsia="仿宋_GB2312" w:cs="Arial"/>
          <w:sz w:val="32"/>
          <w:szCs w:val="32"/>
          <w:lang w:eastAsia="zh-CN"/>
        </w:rPr>
        <w:t>交易双方和集中后实体将持续对参与管理和履行中国客户合同的相关管理人员和员工进行培训，详细说明第二部分第一项承诺项下的义务；</w:t>
      </w:r>
    </w:p>
    <w:bookmarkEnd w:id="9"/>
    <w:p>
      <w:pPr>
        <w:pStyle w:val="17"/>
        <w:snapToGrid w:val="0"/>
        <w:spacing w:before="156" w:beforeLines="50" w:after="156" w:afterLines="50" w:line="360" w:lineRule="auto"/>
        <w:ind w:left="0"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2</w:t>
      </w:r>
      <w:r>
        <w:rPr>
          <w:rFonts w:ascii="Arial" w:hAnsi="Arial" w:eastAsia="仿宋_GB2312" w:cs="Arial"/>
          <w:sz w:val="32"/>
          <w:szCs w:val="32"/>
          <w:lang w:eastAsia="zh-CN"/>
        </w:rPr>
        <w:t xml:space="preserve">. </w:t>
      </w:r>
      <w:r>
        <w:rPr>
          <w:rFonts w:hint="eastAsia" w:ascii="Arial" w:hAnsi="Arial" w:eastAsia="仿宋_GB2312" w:cs="Arial"/>
          <w:sz w:val="32"/>
          <w:szCs w:val="32"/>
          <w:lang w:eastAsia="zh-CN"/>
        </w:rPr>
        <w:t>交易双方和集中后实体将如实监督其中国客户合同的履行和实施情况；</w:t>
      </w:r>
    </w:p>
    <w:p>
      <w:pPr>
        <w:pStyle w:val="17"/>
        <w:ind w:left="0" w:firstLine="640" w:firstLineChars="200"/>
        <w:contextualSpacing w:val="0"/>
        <w:rPr>
          <w:rFonts w:ascii="Arial" w:hAnsi="Arial" w:eastAsia="仿宋_GB2312" w:cs="Arial"/>
          <w:sz w:val="32"/>
          <w:szCs w:val="32"/>
          <w:lang w:eastAsia="zh-CN"/>
        </w:rPr>
      </w:pPr>
      <w:r>
        <w:rPr>
          <w:rFonts w:ascii="Arial" w:hAnsi="Arial" w:eastAsia="仿宋_GB2312" w:cs="Arial"/>
          <w:sz w:val="32"/>
          <w:szCs w:val="32"/>
          <w:lang w:eastAsia="zh-CN"/>
        </w:rPr>
        <w:t xml:space="preserve">3. </w:t>
      </w:r>
      <w:r>
        <w:rPr>
          <w:rFonts w:hint="eastAsia" w:ascii="Arial" w:hAnsi="Arial" w:eastAsia="仿宋_GB2312" w:cs="Arial"/>
          <w:sz w:val="32"/>
          <w:szCs w:val="32"/>
          <w:lang w:eastAsia="zh-CN"/>
        </w:rPr>
        <w:t>根据《经营者集中审查暂行规定》，交易双方和集中后实体将</w:t>
      </w:r>
      <w:r>
        <w:rPr>
          <w:rFonts w:hint="eastAsia" w:ascii="Arial" w:hAnsi="Arial" w:eastAsia="仿宋_GB2312" w:cs="Arial"/>
          <w:sz w:val="32"/>
          <w:lang w:eastAsia="zh-CN"/>
        </w:rPr>
        <w:t>剥离</w:t>
      </w:r>
      <w:r>
        <w:rPr>
          <w:rFonts w:hint="eastAsia" w:ascii="Arial" w:hAnsi="Arial" w:eastAsia="仿宋_GB2312" w:cs="Arial"/>
          <w:sz w:val="32"/>
          <w:szCs w:val="32"/>
          <w:lang w:eastAsia="zh-CN"/>
        </w:rPr>
        <w:t>业务剥离。</w:t>
      </w:r>
    </w:p>
    <w:p>
      <w:pPr>
        <w:pStyle w:val="17"/>
        <w:snapToGrid w:val="0"/>
        <w:spacing w:before="156" w:beforeLines="50" w:after="156" w:afterLines="50" w:line="360" w:lineRule="auto"/>
        <w:ind w:left="0" w:firstLine="640" w:firstLineChars="200"/>
        <w:rPr>
          <w:rFonts w:ascii="Arial" w:hAnsi="Arial" w:eastAsia="仿宋_GB2312" w:cs="Arial"/>
          <w:sz w:val="32"/>
          <w:szCs w:val="32"/>
          <w:lang w:eastAsia="zh-CN"/>
        </w:rPr>
      </w:pPr>
    </w:p>
    <w:p>
      <w:pPr>
        <w:pStyle w:val="17"/>
        <w:snapToGrid w:val="0"/>
        <w:spacing w:before="156" w:beforeLines="50" w:after="156" w:afterLines="50"/>
        <w:jc w:val="center"/>
        <w:rPr>
          <w:rFonts w:ascii="Arial" w:hAnsi="Arial" w:eastAsia="黑体" w:cs="Arial"/>
          <w:b/>
          <w:bCs/>
          <w:sz w:val="32"/>
          <w:szCs w:val="32"/>
          <w:lang w:eastAsia="zh-CN"/>
        </w:rPr>
      </w:pPr>
      <w:r>
        <w:rPr>
          <w:rFonts w:hint="eastAsia" w:ascii="Arial" w:hAnsi="Arial" w:eastAsia="黑体" w:cs="Arial"/>
          <w:b/>
          <w:bCs/>
          <w:sz w:val="32"/>
          <w:szCs w:val="32"/>
          <w:lang w:eastAsia="zh-CN"/>
        </w:rPr>
        <w:t>第三部分</w:t>
      </w:r>
      <w:r>
        <w:rPr>
          <w:rFonts w:ascii="Arial" w:hAnsi="Arial" w:eastAsia="黑体" w:cs="Arial"/>
          <w:b/>
          <w:bCs/>
          <w:sz w:val="32"/>
          <w:szCs w:val="32"/>
          <w:lang w:eastAsia="zh-CN"/>
        </w:rPr>
        <w:t xml:space="preserve"> </w:t>
      </w:r>
      <w:r>
        <w:rPr>
          <w:rFonts w:hint="eastAsia" w:ascii="Arial" w:hAnsi="Arial" w:eastAsia="黑体" w:cs="Arial"/>
          <w:b/>
          <w:bCs/>
          <w:sz w:val="32"/>
          <w:szCs w:val="32"/>
          <w:lang w:eastAsia="zh-CN"/>
        </w:rPr>
        <w:t>剥离业务</w:t>
      </w:r>
    </w:p>
    <w:p>
      <w:pPr>
        <w:pStyle w:val="17"/>
        <w:spacing w:before="50" w:after="50"/>
        <w:ind w:left="0" w:firstLine="640" w:firstLineChars="200"/>
        <w:contextualSpacing w:val="0"/>
        <w:rPr>
          <w:rFonts w:ascii="Arial" w:hAnsi="Arial" w:eastAsia="仿宋_GB2312" w:cs="Arial"/>
          <w:sz w:val="32"/>
          <w:lang w:eastAsia="zh-CN"/>
        </w:rPr>
      </w:pPr>
      <w:bookmarkStart w:id="10" w:name="_Hlk92879707"/>
      <w:r>
        <w:rPr>
          <w:rFonts w:hint="eastAsia" w:ascii="Arial" w:hAnsi="Arial" w:eastAsia="仿宋_GB2312" w:cs="Arial"/>
          <w:sz w:val="32"/>
          <w:lang w:eastAsia="zh-CN"/>
        </w:rPr>
        <w:t>为维持有效竞争，交易双方和集中后实体承诺，根据</w:t>
      </w:r>
      <w:r>
        <w:rPr>
          <w:rFonts w:hint="eastAsia" w:ascii="Arial" w:hAnsi="Arial" w:eastAsia="仿宋_GB2312" w:cs="Arial"/>
          <w:kern w:val="0"/>
          <w:sz w:val="32"/>
          <w:szCs w:val="32"/>
          <w:lang w:eastAsia="zh-CN"/>
        </w:rPr>
        <w:t>《经营者集中审查暂行规定》</w:t>
      </w:r>
      <w:r>
        <w:rPr>
          <w:rFonts w:hint="eastAsia" w:ascii="Arial" w:hAnsi="Arial" w:eastAsia="仿宋_GB2312" w:cs="Arial"/>
          <w:sz w:val="32"/>
          <w:lang w:eastAsia="zh-CN"/>
        </w:rPr>
        <w:t>，按照市场监管总局批准的剥离买方和出售条款，在规定的期限内将剥离业务出售给剥离买方。</w:t>
      </w:r>
    </w:p>
    <w:bookmarkEnd w:id="10"/>
    <w:p>
      <w:pPr>
        <w:pStyle w:val="17"/>
        <w:ind w:left="0" w:firstLine="642" w:firstLineChars="200"/>
        <w:contextualSpacing w:val="0"/>
        <w:rPr>
          <w:rFonts w:ascii="Arial" w:hAnsi="Arial" w:eastAsia="仿宋_GB2312" w:cs="Arial"/>
          <w:b/>
          <w:bCs/>
          <w:sz w:val="32"/>
          <w:lang w:eastAsia="zh-CN"/>
        </w:rPr>
      </w:pPr>
      <w:r>
        <w:rPr>
          <w:rFonts w:hint="eastAsia" w:ascii="Arial" w:hAnsi="Arial" w:eastAsia="仿宋_GB2312" w:cs="Arial"/>
          <w:b/>
          <w:bCs/>
          <w:sz w:val="32"/>
          <w:lang w:eastAsia="zh-CN"/>
        </w:rPr>
        <w:t>一、剥离范围</w:t>
      </w:r>
    </w:p>
    <w:p>
      <w:pPr>
        <w:pStyle w:val="17"/>
        <w:ind w:left="0" w:firstLine="640" w:firstLineChars="200"/>
        <w:contextualSpacing w:val="0"/>
        <w:rPr>
          <w:rFonts w:ascii="Arial" w:hAnsi="Arial" w:eastAsia="仿宋_GB2312" w:cs="Arial"/>
          <w:sz w:val="32"/>
          <w:lang w:eastAsia="zh-CN"/>
        </w:rPr>
      </w:pPr>
      <w:bookmarkStart w:id="11" w:name="_Hlk85827919"/>
      <w:r>
        <w:rPr>
          <w:rFonts w:hint="eastAsia" w:ascii="Arial" w:hAnsi="Arial" w:eastAsia="仿宋_GB2312" w:cs="Arial"/>
          <w:sz w:val="32"/>
          <w:lang w:eastAsia="zh-CN"/>
        </w:rPr>
        <w:t>丹麦</w:t>
      </w:r>
      <w:r>
        <w:rPr>
          <w:rFonts w:ascii="Arial" w:hAnsi="Arial" w:eastAsia="仿宋_GB2312" w:cs="Arial"/>
          <w:sz w:val="32"/>
          <w:lang w:eastAsia="zh-CN"/>
        </w:rPr>
        <w:t>Topsil GlobalWafers A/S(</w:t>
      </w:r>
      <w:r>
        <w:rPr>
          <w:rFonts w:hint="eastAsia" w:ascii="Arial" w:hAnsi="Arial" w:eastAsia="仿宋_GB2312" w:cs="Arial"/>
          <w:sz w:val="32"/>
          <w:lang w:eastAsia="zh-CN"/>
        </w:rPr>
        <w:t>拓谱公司</w:t>
      </w:r>
      <w:r>
        <w:rPr>
          <w:rFonts w:ascii="Arial" w:hAnsi="Arial" w:eastAsia="仿宋_GB2312" w:cs="Arial"/>
          <w:sz w:val="32"/>
          <w:lang w:eastAsia="zh-CN"/>
        </w:rPr>
        <w:t>)</w:t>
      </w:r>
      <w:r>
        <w:rPr>
          <w:rFonts w:hint="eastAsia" w:ascii="Arial" w:hAnsi="Arial" w:eastAsia="仿宋_GB2312" w:cs="Arial"/>
          <w:sz w:val="32"/>
          <w:lang w:eastAsia="zh-CN"/>
        </w:rPr>
        <w:t>的区熔法晶圆业务</w:t>
      </w:r>
      <w:r>
        <w:rPr>
          <w:rFonts w:hint="eastAsia" w:cs="Arial" w:asciiTheme="minorEastAsia" w:hAnsiTheme="minorEastAsia" w:eastAsiaTheme="minorEastAsia"/>
          <w:sz w:val="32"/>
          <w:lang w:eastAsia="zh-CN"/>
        </w:rPr>
        <w:t>（</w:t>
      </w:r>
      <w:r>
        <w:rPr>
          <w:rFonts w:hint="eastAsia" w:ascii="Arial" w:hAnsi="Arial" w:eastAsia="仿宋_GB2312" w:cs="Arial"/>
          <w:sz w:val="32"/>
          <w:lang w:eastAsia="zh-CN"/>
        </w:rPr>
        <w:t>依据上述剥离业务之定义，包含其资产与负债，内容详见附录2</w:t>
      </w:r>
      <w:r>
        <w:rPr>
          <w:rFonts w:ascii="Arial" w:hAnsi="Arial" w:eastAsia="仿宋_GB2312" w:cs="Arial"/>
          <w:sz w:val="32"/>
          <w:lang w:eastAsia="zh-CN"/>
        </w:rPr>
        <w:t>-5)</w:t>
      </w:r>
      <w:bookmarkEnd w:id="11"/>
      <w:r>
        <w:rPr>
          <w:rFonts w:hint="eastAsia" w:ascii="Arial" w:hAnsi="Arial" w:eastAsia="仿宋_GB2312" w:cs="Arial"/>
          <w:sz w:val="32"/>
          <w:lang w:eastAsia="zh-CN"/>
        </w:rPr>
        <w:t>，包括维持该业务运营、确保该业务的存续性和竞争性所必需的全部资产及人员，具体包括：</w:t>
      </w:r>
    </w:p>
    <w:p>
      <w:pPr>
        <w:tabs>
          <w:tab w:val="left" w:pos="1099"/>
        </w:tabs>
        <w:ind w:firstLine="640" w:firstLineChars="200"/>
        <w:rPr>
          <w:rFonts w:ascii="Arial" w:hAnsi="Arial" w:eastAsia="仿宋_GB2312" w:cs="Arial"/>
          <w:sz w:val="32"/>
          <w:lang w:val="en-GB"/>
        </w:rPr>
      </w:pPr>
      <w:r>
        <w:rPr>
          <w:rFonts w:hint="eastAsia" w:ascii="Arial" w:hAnsi="Arial" w:eastAsia="仿宋_GB2312" w:cs="Arial"/>
          <w:sz w:val="32"/>
          <w:szCs w:val="32"/>
        </w:rPr>
        <w:t>1</w:t>
      </w:r>
      <w:r>
        <w:rPr>
          <w:rFonts w:ascii="Arial" w:hAnsi="Arial" w:eastAsia="仿宋_GB2312" w:cs="Arial"/>
          <w:sz w:val="32"/>
          <w:szCs w:val="32"/>
        </w:rPr>
        <w:t xml:space="preserve">. </w:t>
      </w:r>
      <w:r>
        <w:rPr>
          <w:rFonts w:hint="eastAsia" w:ascii="Arial" w:hAnsi="Arial" w:eastAsia="仿宋_GB2312" w:cs="Arial"/>
          <w:sz w:val="32"/>
          <w:szCs w:val="32"/>
        </w:rPr>
        <w:t>所有有形</w:t>
      </w:r>
      <w:r>
        <w:rPr>
          <w:rFonts w:hint="cs" w:ascii="Arial" w:hAnsi="Arial" w:eastAsia="仿宋_GB2312" w:cs="Arial"/>
          <w:sz w:val="32"/>
          <w:szCs w:val="32"/>
        </w:rPr>
        <w:t>资产</w:t>
      </w:r>
      <w:r>
        <w:rPr>
          <w:rFonts w:hint="eastAsia" w:ascii="Arial" w:hAnsi="Arial" w:eastAsia="仿宋_GB2312" w:cs="Arial"/>
          <w:sz w:val="32"/>
          <w:szCs w:val="32"/>
        </w:rPr>
        <w:t>和无形</w:t>
      </w:r>
      <w:r>
        <w:rPr>
          <w:rFonts w:hint="cs" w:ascii="Arial" w:hAnsi="Arial" w:eastAsia="仿宋_GB2312" w:cs="Arial"/>
          <w:sz w:val="32"/>
          <w:szCs w:val="32"/>
        </w:rPr>
        <w:t>资产</w:t>
      </w:r>
      <w:r>
        <w:rPr>
          <w:rFonts w:hint="eastAsia" w:ascii="Arial" w:hAnsi="Arial" w:eastAsia="仿宋_GB2312" w:cs="Arial"/>
          <w:sz w:val="32"/>
          <w:szCs w:val="32"/>
        </w:rPr>
        <w:t>，包括拓谱公司拥有的知</w:t>
      </w:r>
      <w:r>
        <w:rPr>
          <w:rFonts w:hint="cs" w:ascii="Arial" w:hAnsi="Arial" w:eastAsia="仿宋_GB2312" w:cs="Arial"/>
          <w:sz w:val="32"/>
          <w:szCs w:val="32"/>
        </w:rPr>
        <w:t>识</w:t>
      </w:r>
      <w:r>
        <w:rPr>
          <w:rFonts w:hint="cs" w:ascii="Arial" w:hAnsi="Arial" w:eastAsia="仿宋_GB2312" w:cs="Arial"/>
          <w:sz w:val="32"/>
          <w:lang w:val="en-GB"/>
        </w:rPr>
        <w:t>产权</w:t>
      </w:r>
      <w:r>
        <w:rPr>
          <w:rFonts w:hint="eastAsia" w:ascii="Arial" w:hAnsi="Arial" w:eastAsia="仿宋_GB2312" w:cs="Arial"/>
          <w:sz w:val="32"/>
          <w:lang w:val="en-GB"/>
        </w:rPr>
        <w:t>；</w:t>
      </w:r>
    </w:p>
    <w:p>
      <w:pPr>
        <w:tabs>
          <w:tab w:val="left" w:pos="1099"/>
        </w:tabs>
        <w:ind w:firstLine="640" w:firstLineChars="200"/>
        <w:rPr>
          <w:rFonts w:ascii="Arial" w:hAnsi="Arial" w:eastAsia="仿宋_GB2312" w:cs="Arial"/>
          <w:sz w:val="32"/>
          <w:lang w:val="en-GB"/>
        </w:rPr>
      </w:pPr>
      <w:r>
        <w:rPr>
          <w:rFonts w:hint="eastAsia" w:ascii="Arial" w:hAnsi="Arial" w:eastAsia="仿宋_GB2312" w:cs="Arial"/>
          <w:sz w:val="32"/>
          <w:lang w:val="en-GB"/>
        </w:rPr>
        <w:t>2</w:t>
      </w:r>
      <w:r>
        <w:rPr>
          <w:rFonts w:ascii="Arial" w:hAnsi="Arial" w:eastAsia="仿宋_GB2312" w:cs="Arial"/>
          <w:sz w:val="32"/>
          <w:lang w:val="en-GB"/>
        </w:rPr>
        <w:t xml:space="preserve">. </w:t>
      </w:r>
      <w:r>
        <w:rPr>
          <w:rFonts w:hint="eastAsia" w:ascii="Arial" w:hAnsi="Arial" w:eastAsia="仿宋_GB2312" w:cs="Arial"/>
          <w:sz w:val="32"/>
          <w:lang w:val="en-GB"/>
        </w:rPr>
        <w:t>所有协议、租约、承诺和客户订单；所有客户、信贷及其他记录；</w:t>
      </w:r>
    </w:p>
    <w:p>
      <w:pPr>
        <w:pStyle w:val="17"/>
        <w:tabs>
          <w:tab w:val="left" w:pos="1099"/>
        </w:tabs>
        <w:ind w:left="420" w:firstLine="320" w:firstLineChars="100"/>
        <w:contextualSpacing w:val="0"/>
        <w:rPr>
          <w:rFonts w:ascii="Arial" w:hAnsi="Arial" w:eastAsia="仿宋_GB2312" w:cs="Arial"/>
          <w:sz w:val="32"/>
          <w:lang w:val="en-GB" w:eastAsia="zh-CN"/>
        </w:rPr>
      </w:pPr>
      <w:r>
        <w:rPr>
          <w:rFonts w:hint="eastAsia" w:ascii="Arial" w:hAnsi="Arial" w:eastAsia="仿宋_GB2312" w:cs="Arial"/>
          <w:sz w:val="32"/>
          <w:lang w:val="en-GB" w:eastAsia="zh-CN"/>
        </w:rPr>
        <w:t>3</w:t>
      </w:r>
      <w:r>
        <w:rPr>
          <w:rFonts w:ascii="Arial" w:hAnsi="Arial" w:eastAsia="仿宋_GB2312" w:cs="Arial"/>
          <w:sz w:val="32"/>
          <w:lang w:val="en-GB" w:eastAsia="zh-CN"/>
        </w:rPr>
        <w:t xml:space="preserve">. </w:t>
      </w:r>
      <w:r>
        <w:rPr>
          <w:rFonts w:hint="eastAsia" w:ascii="Arial" w:hAnsi="Arial" w:eastAsia="仿宋_GB2312" w:cs="Arial"/>
          <w:sz w:val="32"/>
          <w:lang w:val="en-GB" w:eastAsia="zh-CN"/>
        </w:rPr>
        <w:t>附录5所列人员。</w:t>
      </w:r>
    </w:p>
    <w:p>
      <w:pPr>
        <w:pStyle w:val="17"/>
        <w:tabs>
          <w:tab w:val="left" w:pos="1099"/>
        </w:tabs>
        <w:ind w:left="420"/>
        <w:contextualSpacing w:val="0"/>
        <w:rPr>
          <w:rFonts w:ascii="Arial" w:hAnsi="Arial" w:eastAsia="仿宋_GB2312" w:cs="Arial"/>
          <w:sz w:val="32"/>
          <w:lang w:val="en-GB" w:eastAsia="zh-CN"/>
        </w:rPr>
      </w:pPr>
    </w:p>
    <w:p>
      <w:pPr>
        <w:pStyle w:val="17"/>
        <w:ind w:left="0" w:firstLine="642" w:firstLineChars="200"/>
        <w:contextualSpacing w:val="0"/>
        <w:rPr>
          <w:rFonts w:ascii="Arial" w:hAnsi="Arial" w:eastAsia="仿宋_GB2312" w:cs="Arial"/>
          <w:b/>
          <w:bCs/>
          <w:sz w:val="32"/>
          <w:lang w:eastAsia="zh-CN"/>
        </w:rPr>
      </w:pPr>
      <w:r>
        <w:rPr>
          <w:rFonts w:hint="eastAsia" w:ascii="Arial" w:hAnsi="Arial" w:eastAsia="仿宋_GB2312" w:cs="Arial"/>
          <w:b/>
          <w:bCs/>
          <w:sz w:val="32"/>
          <w:lang w:eastAsia="zh-CN"/>
        </w:rPr>
        <w:t>二、过渡性服务</w:t>
      </w:r>
    </w:p>
    <w:p>
      <w:pPr>
        <w:spacing w:line="580" w:lineRule="exact"/>
        <w:ind w:firstLine="640" w:firstLineChars="200"/>
        <w:rPr>
          <w:rFonts w:ascii="Arial" w:hAnsi="Arial" w:eastAsia="仿宋_GB2312" w:cs="Arial"/>
          <w:sz w:val="32"/>
        </w:rPr>
      </w:pPr>
      <w:r>
        <w:rPr>
          <w:rFonts w:ascii="Arial" w:hAnsi="Arial" w:eastAsia="仿宋_GB2312" w:cs="Arial"/>
          <w:sz w:val="32"/>
        </w:rPr>
        <w:t xml:space="preserve">1. </w:t>
      </w:r>
      <w:r>
        <w:rPr>
          <w:rFonts w:hint="eastAsia" w:ascii="Arial" w:hAnsi="Arial" w:eastAsia="仿宋_GB2312" w:cs="Arial"/>
          <w:sz w:val="32"/>
        </w:rPr>
        <w:t>交易双方和集中后实体承诺，在剥离交割后最长</w:t>
      </w:r>
      <w:r>
        <w:rPr>
          <w:rFonts w:ascii="Arial" w:hAnsi="Arial" w:eastAsia="仿宋_GB2312" w:cs="Arial"/>
          <w:sz w:val="32"/>
        </w:rPr>
        <w:t>24</w:t>
      </w:r>
      <w:r>
        <w:rPr>
          <w:rFonts w:hint="eastAsia" w:ascii="Arial" w:hAnsi="Arial" w:eastAsia="仿宋_GB2312" w:cs="Arial"/>
          <w:sz w:val="32"/>
        </w:rPr>
        <w:t>个月的过渡期内，基于目前交易双方向剥离业务提供的同等条款和条件，继续向该剥离业务提供附录</w:t>
      </w:r>
      <w:r>
        <w:rPr>
          <w:rFonts w:ascii="Arial" w:hAnsi="Arial" w:eastAsia="仿宋_GB2312" w:cs="Arial"/>
          <w:sz w:val="32"/>
        </w:rPr>
        <w:t>6</w:t>
      </w:r>
      <w:r>
        <w:rPr>
          <w:rFonts w:hint="eastAsia" w:ascii="Arial" w:hAnsi="Arial" w:eastAsia="仿宋_GB2312" w:cs="Arial"/>
          <w:sz w:val="32"/>
        </w:rPr>
        <w:t>与相关附件中详细规定的产品与服务</w:t>
      </w:r>
      <w:r>
        <w:rPr>
          <w:rFonts w:hint="eastAsia" w:ascii="PMingLiU" w:hAnsi="PMingLiU" w:cs="Arial" w:eastAsiaTheme="minorEastAsia"/>
          <w:sz w:val="32"/>
        </w:rPr>
        <w:t>。</w:t>
      </w:r>
      <w:r>
        <w:rPr>
          <w:rFonts w:hint="eastAsia" w:ascii="Arial" w:hAnsi="Arial" w:eastAsia="仿宋_GB2312" w:cs="Arial"/>
          <w:sz w:val="32"/>
        </w:rPr>
        <w:t>市场监管总局可以根据剥离买方于原过渡期截止日三十个自然日前提出的具有充分理由的合理请求，将过渡期的时间最多延长</w:t>
      </w:r>
      <w:r>
        <w:rPr>
          <w:rFonts w:ascii="Arial" w:hAnsi="Arial" w:eastAsia="仿宋_GB2312" w:cs="Arial"/>
          <w:sz w:val="32"/>
        </w:rPr>
        <w:t>12</w:t>
      </w:r>
      <w:r>
        <w:rPr>
          <w:rFonts w:hint="eastAsia" w:ascii="Arial" w:hAnsi="Arial" w:eastAsia="仿宋_GB2312" w:cs="Arial"/>
          <w:sz w:val="32"/>
        </w:rPr>
        <w:t>个月。剥离买方提出该请求时应附有监督受托人的报告，监督受托人应同时将报告的非保密副本发送给集中后实体。</w:t>
      </w:r>
    </w:p>
    <w:p>
      <w:pPr>
        <w:spacing w:line="580" w:lineRule="exact"/>
        <w:ind w:firstLine="640" w:firstLineChars="200"/>
        <w:rPr>
          <w:rFonts w:ascii="Arial" w:hAnsi="Arial" w:eastAsia="仿宋_GB2312" w:cs="Arial"/>
          <w:sz w:val="32"/>
        </w:rPr>
      </w:pPr>
      <w:r>
        <w:rPr>
          <w:rFonts w:hint="eastAsia" w:ascii="Arial" w:hAnsi="Arial" w:eastAsia="仿宋_GB2312" w:cs="Arial"/>
          <w:sz w:val="32"/>
        </w:rPr>
        <w:t>2</w:t>
      </w:r>
      <w:r>
        <w:rPr>
          <w:rFonts w:ascii="Arial" w:hAnsi="Arial" w:eastAsia="仿宋_GB2312" w:cs="Arial"/>
          <w:sz w:val="32"/>
        </w:rPr>
        <w:t xml:space="preserve">. </w:t>
      </w:r>
      <w:r>
        <w:rPr>
          <w:rFonts w:hint="eastAsia" w:ascii="Arial" w:hAnsi="Arial" w:eastAsia="仿宋_GB2312" w:cs="Arial"/>
          <w:sz w:val="32"/>
        </w:rPr>
        <w:t>交易双方和集中后实体将建立严格的防火墙程序，确保任何与该等供应安排相关或由该等供应安排所产生的竞争敏感信息不会向提供产品和服务业务的相关部门以外的任何人披露或传递。</w:t>
      </w:r>
    </w:p>
    <w:p>
      <w:pPr>
        <w:rPr>
          <w:rFonts w:ascii="Arial" w:hAnsi="Arial" w:eastAsia="黑体" w:cs="Arial"/>
          <w:bCs/>
          <w:sz w:val="32"/>
        </w:rPr>
      </w:pPr>
      <w:bookmarkStart w:id="12" w:name="_Hlk72497514"/>
    </w:p>
    <w:bookmarkEnd w:id="12"/>
    <w:p>
      <w:pPr>
        <w:pStyle w:val="17"/>
        <w:ind w:left="0" w:firstLine="642" w:firstLineChars="200"/>
        <w:contextualSpacing w:val="0"/>
        <w:rPr>
          <w:rFonts w:ascii="Arial" w:hAnsi="Arial" w:eastAsia="仿宋_GB2312" w:cs="Arial"/>
          <w:b/>
          <w:bCs/>
          <w:sz w:val="32"/>
          <w:lang w:eastAsia="zh-CN"/>
        </w:rPr>
      </w:pPr>
      <w:r>
        <w:rPr>
          <w:rFonts w:hint="eastAsia" w:ascii="Arial" w:hAnsi="Arial" w:eastAsia="仿宋_GB2312" w:cs="Arial"/>
          <w:b/>
          <w:bCs/>
          <w:sz w:val="32"/>
          <w:lang w:eastAsia="zh-CN"/>
        </w:rPr>
        <w:t>三、保持存续性、竞争性和可销售性</w:t>
      </w:r>
    </w:p>
    <w:p>
      <w:pPr>
        <w:ind w:firstLine="640" w:firstLineChars="200"/>
        <w:rPr>
          <w:rFonts w:ascii="Arial" w:hAnsi="Arial" w:eastAsia="仿宋_GB2312" w:cs="Arial"/>
          <w:sz w:val="32"/>
        </w:rPr>
      </w:pPr>
      <w:r>
        <w:rPr>
          <w:rFonts w:hint="eastAsia" w:ascii="Arial" w:hAnsi="Arial" w:eastAsia="仿宋_GB2312" w:cs="Arial"/>
          <w:sz w:val="32"/>
        </w:rPr>
        <w:t>自生效日直至交割，交易双方和集中后实体承诺根据良好商业惯例保持或促使相关实体保持剥离业务的存续性、竞争性和可销售性，并应尽可能降低减损剥离业务竞争潜力的任何风险。具体而言，交易双方和集中后实体承诺：</w:t>
      </w:r>
    </w:p>
    <w:p>
      <w:pPr>
        <w:ind w:firstLine="640" w:firstLineChars="200"/>
        <w:rPr>
          <w:rFonts w:ascii="Arial" w:hAnsi="Arial" w:eastAsia="仿宋_GB2312" w:cs="Arial"/>
          <w:sz w:val="32"/>
        </w:rPr>
      </w:pPr>
      <w:r>
        <w:rPr>
          <w:rFonts w:ascii="Arial" w:hAnsi="Arial" w:eastAsia="仿宋_GB2312" w:cs="Arial"/>
          <w:sz w:val="32"/>
        </w:rPr>
        <w:t xml:space="preserve">1. </w:t>
      </w:r>
      <w:r>
        <w:rPr>
          <w:rFonts w:hint="eastAsia" w:ascii="Arial" w:hAnsi="Arial" w:eastAsia="仿宋_GB2312" w:cs="Arial"/>
          <w:sz w:val="32"/>
        </w:rPr>
        <w:t>不采取任何可能对剥离业务的价值、管理或竞争性产生重大不利影响的行为，或者可能改变剥离业务的经营性质和范围、行业与商业战略或投资政策的行为；</w:t>
      </w:r>
      <w:r>
        <w:rPr>
          <w:rFonts w:ascii="Arial" w:hAnsi="Arial" w:eastAsia="仿宋_GB2312" w:cs="Arial"/>
          <w:sz w:val="32"/>
        </w:rPr>
        <w:t xml:space="preserve"> </w:t>
      </w:r>
    </w:p>
    <w:p>
      <w:pPr>
        <w:ind w:firstLine="640" w:firstLineChars="200"/>
        <w:rPr>
          <w:rFonts w:ascii="Arial" w:hAnsi="Arial" w:eastAsia="仿宋_GB2312" w:cs="Arial"/>
          <w:sz w:val="32"/>
        </w:rPr>
      </w:pPr>
      <w:r>
        <w:rPr>
          <w:rFonts w:ascii="Arial" w:hAnsi="Arial" w:eastAsia="仿宋_GB2312" w:cs="Arial"/>
          <w:sz w:val="32"/>
        </w:rPr>
        <w:t xml:space="preserve">2. </w:t>
      </w:r>
      <w:r>
        <w:rPr>
          <w:rFonts w:hint="eastAsia" w:ascii="Arial" w:hAnsi="Arial" w:eastAsia="仿宋_GB2312" w:cs="Arial"/>
          <w:sz w:val="32"/>
        </w:rPr>
        <w:t>根据并延续现有的业务计划，为剥离业务的发展提供或促使相关实体提供充足资源；</w:t>
      </w:r>
    </w:p>
    <w:p>
      <w:pPr>
        <w:ind w:firstLine="640" w:firstLineChars="200"/>
        <w:rPr>
          <w:rFonts w:ascii="Arial" w:hAnsi="Arial" w:eastAsia="仿宋_GB2312" w:cs="Arial"/>
          <w:sz w:val="32"/>
        </w:rPr>
      </w:pPr>
      <w:r>
        <w:rPr>
          <w:rFonts w:ascii="Arial" w:hAnsi="Arial" w:eastAsia="仿宋_GB2312" w:cs="Arial"/>
          <w:sz w:val="32"/>
        </w:rPr>
        <w:t xml:space="preserve">3. </w:t>
      </w:r>
      <w:r>
        <w:rPr>
          <w:rFonts w:hint="eastAsia" w:ascii="Arial" w:hAnsi="Arial" w:eastAsia="仿宋_GB2312" w:cs="Arial"/>
          <w:sz w:val="32"/>
        </w:rPr>
        <w:t>采取或促使相关实体采取一切合理措施（包括基于行业惯例或与过去近似的适当激励计划），以鼓励所有关键人员继续在剥离业务中留任，并且不招揽或转移任何关键人员至交易双方与集中后实体的保留业务。</w:t>
      </w:r>
    </w:p>
    <w:p>
      <w:pPr>
        <w:ind w:firstLine="640" w:firstLineChars="200"/>
        <w:rPr>
          <w:rFonts w:ascii="Arial" w:hAnsi="Arial" w:eastAsia="仿宋_GB2312" w:cs="Arial"/>
          <w:sz w:val="32"/>
        </w:rPr>
      </w:pPr>
      <w:r>
        <w:rPr>
          <w:rFonts w:hint="eastAsia" w:ascii="Arial" w:hAnsi="Arial" w:eastAsia="仿宋_GB2312" w:cs="Arial"/>
          <w:sz w:val="32"/>
        </w:rPr>
        <w:t>但是，自生效日起两年之内，如果关键人员中的个别成员因特殊原因离开剥离业务时，交易双方和集中后实体应向市场监管总局和监督受托人提供替换这些关键人员的合理建议。交易双方和集中后实体必须能够向市场监管总局表明，替换人员适合履行该等关键人员所履行的职责。该等人员替换应在监督受托人的监督下进行，并由监督受托人向市场监管总局报告。</w:t>
      </w:r>
    </w:p>
    <w:p>
      <w:pPr>
        <w:ind w:firstLine="640" w:firstLineChars="200"/>
        <w:rPr>
          <w:rFonts w:ascii="Arial" w:hAnsi="Arial" w:eastAsia="仿宋_GB2312" w:cs="Arial"/>
          <w:sz w:val="32"/>
        </w:rPr>
      </w:pPr>
    </w:p>
    <w:p>
      <w:pPr>
        <w:ind w:firstLine="642" w:firstLineChars="200"/>
        <w:rPr>
          <w:rFonts w:ascii="Arial" w:hAnsi="Arial" w:eastAsia="仿宋_GB2312" w:cs="Arial"/>
          <w:b/>
          <w:bCs/>
          <w:sz w:val="32"/>
        </w:rPr>
      </w:pPr>
      <w:r>
        <w:rPr>
          <w:rFonts w:hint="eastAsia" w:ascii="Arial" w:hAnsi="Arial" w:eastAsia="仿宋_GB2312" w:cs="Arial"/>
          <w:b/>
          <w:bCs/>
          <w:sz w:val="32"/>
        </w:rPr>
        <w:t>四、保持独立</w:t>
      </w:r>
    </w:p>
    <w:p>
      <w:pPr>
        <w:ind w:firstLine="640" w:firstLineChars="200"/>
        <w:rPr>
          <w:rFonts w:ascii="Arial" w:hAnsi="Arial" w:eastAsia="仿宋_GB2312" w:cs="Arial"/>
          <w:sz w:val="32"/>
        </w:rPr>
      </w:pPr>
      <w:r>
        <w:rPr>
          <w:rFonts w:ascii="Arial" w:hAnsi="Arial" w:eastAsia="仿宋_GB2312" w:cs="Arial"/>
          <w:sz w:val="32"/>
        </w:rPr>
        <w:t xml:space="preserve">1. </w:t>
      </w:r>
      <w:r>
        <w:rPr>
          <w:rFonts w:hint="eastAsia" w:ascii="Arial" w:hAnsi="Arial" w:eastAsia="仿宋_GB2312" w:cs="Arial"/>
          <w:sz w:val="32"/>
        </w:rPr>
        <w:t>交易双方和集中后实体承诺，自生效日起直至交割，将确保剥离业务独立于交易双方和集中后实体的保留业务。除本承诺方案明确允许外，交易双方和集中后实体应确保：</w:t>
      </w:r>
    </w:p>
    <w:p>
      <w:pPr>
        <w:ind w:firstLine="640" w:firstLineChars="200"/>
        <w:rPr>
          <w:rFonts w:ascii="Arial" w:hAnsi="Arial" w:eastAsia="仿宋_GB2312" w:cs="Arial"/>
          <w:sz w:val="32"/>
        </w:rPr>
      </w:pPr>
      <w:r>
        <w:rPr>
          <w:rFonts w:hint="eastAsia" w:ascii="Arial" w:hAnsi="Arial" w:eastAsia="仿宋_GB2312" w:cs="Arial"/>
          <w:sz w:val="32"/>
        </w:rPr>
        <w:t>（1）交易双方和集中后实体保留业务的管理层及员工不参与剥离业务；</w:t>
      </w:r>
    </w:p>
    <w:p>
      <w:pPr>
        <w:ind w:firstLine="640" w:firstLineChars="200"/>
        <w:rPr>
          <w:rFonts w:ascii="Arial" w:hAnsi="Arial" w:eastAsia="仿宋_GB2312" w:cs="Arial"/>
          <w:sz w:val="32"/>
        </w:rPr>
      </w:pPr>
      <w:r>
        <w:rPr>
          <w:rFonts w:hint="eastAsia" w:ascii="Arial" w:hAnsi="Arial" w:eastAsia="仿宋_GB2312" w:cs="Arial"/>
          <w:sz w:val="32"/>
        </w:rPr>
        <w:t xml:space="preserve">（2）剥离业务的关键人员及人员不参与交易双方和集中后实体的任何业务，且不向剥离业务之外的任何个人报告。 </w:t>
      </w:r>
    </w:p>
    <w:p>
      <w:pPr>
        <w:ind w:firstLine="640" w:firstLineChars="200"/>
        <w:rPr>
          <w:rFonts w:ascii="Arial" w:hAnsi="Arial" w:eastAsia="仿宋_GB2312" w:cs="Arial"/>
          <w:sz w:val="32"/>
        </w:rPr>
      </w:pPr>
      <w:r>
        <w:rPr>
          <w:rFonts w:ascii="Arial" w:hAnsi="Arial" w:eastAsia="仿宋_GB2312" w:cs="Arial"/>
          <w:sz w:val="32"/>
        </w:rPr>
        <w:t xml:space="preserve">2. </w:t>
      </w:r>
      <w:r>
        <w:rPr>
          <w:rFonts w:hint="eastAsia" w:ascii="Arial" w:hAnsi="Arial" w:eastAsia="仿宋_GB2312" w:cs="Arial"/>
          <w:sz w:val="32"/>
        </w:rPr>
        <w:t>交易双方和集中后实体承诺采取所有必要措施以确保：除协助转让相关剥离业务所必需的信息外，交易双方和集中后实体参与剥离业务转让的人员不使用剥离买方提供的任何保密信息，且该等人员仅在协助转让相关剥离业务所必需时才向交易双方和集中后实体的其他人员披露此类信息。</w:t>
      </w:r>
    </w:p>
    <w:p>
      <w:pPr>
        <w:ind w:firstLine="640" w:firstLineChars="200"/>
        <w:rPr>
          <w:rFonts w:ascii="Arial" w:hAnsi="Arial" w:eastAsia="仿宋_GB2312" w:cs="Arial"/>
          <w:sz w:val="32"/>
        </w:rPr>
      </w:pPr>
      <w:r>
        <w:rPr>
          <w:rFonts w:ascii="Arial" w:hAnsi="Arial" w:eastAsia="仿宋_GB2312" w:cs="Arial"/>
          <w:sz w:val="32"/>
        </w:rPr>
        <w:t xml:space="preserve">3. </w:t>
      </w:r>
      <w:r>
        <w:rPr>
          <w:rFonts w:hint="eastAsia" w:ascii="Arial" w:hAnsi="Arial" w:eastAsia="仿宋_GB2312" w:cs="Arial"/>
          <w:sz w:val="32"/>
        </w:rPr>
        <w:t>交易双方和集中后实体应协助监督受托人确保剥离业务独立于交易双方和集中后实体的保留业务，并将其作为独立可出售的实体予以管理，直至完成交割。在决定作出之后，交易双方和集中后实体应在征求市场监管总局和监督受托人的意见后，立即委任一名剥离业务保持独立管理人。保持独立管理人应独立管理剥离业务，维护剥离业务的最大利益，以确保剥离业务继续保持存续性、竞争性和可销售性，并独立于交易双方和集中后实体的保留业务。保持独立管理人应与监督受托人紧密合作，并向监督受托人报告。</w:t>
      </w:r>
    </w:p>
    <w:p>
      <w:pPr>
        <w:ind w:firstLine="640" w:firstLineChars="200"/>
        <w:rPr>
          <w:rFonts w:ascii="Arial" w:hAnsi="Arial" w:eastAsia="仿宋_GB2312" w:cs="Arial"/>
          <w:sz w:val="32"/>
        </w:rPr>
      </w:pPr>
    </w:p>
    <w:p>
      <w:pPr>
        <w:ind w:firstLine="642" w:firstLineChars="200"/>
        <w:rPr>
          <w:rFonts w:ascii="Arial" w:hAnsi="Arial" w:eastAsia="仿宋_GB2312" w:cs="Arial"/>
          <w:b/>
          <w:bCs/>
          <w:sz w:val="32"/>
        </w:rPr>
      </w:pPr>
      <w:r>
        <w:rPr>
          <w:rFonts w:hint="eastAsia" w:ascii="Arial" w:hAnsi="Arial" w:eastAsia="仿宋_GB2312" w:cs="Arial"/>
          <w:b/>
          <w:bCs/>
          <w:sz w:val="32"/>
        </w:rPr>
        <w:t>五、</w:t>
      </w:r>
      <w:r>
        <w:rPr>
          <w:rFonts w:ascii="Arial" w:hAnsi="Arial" w:eastAsia="仿宋_GB2312" w:cs="Arial"/>
          <w:b/>
          <w:bCs/>
          <w:sz w:val="32"/>
        </w:rPr>
        <w:t xml:space="preserve"> </w:t>
      </w:r>
      <w:r>
        <w:rPr>
          <w:rFonts w:hint="eastAsia" w:ascii="Arial" w:hAnsi="Arial" w:eastAsia="仿宋_GB2312" w:cs="Arial"/>
          <w:b/>
          <w:bCs/>
          <w:sz w:val="32"/>
        </w:rPr>
        <w:t>信息隔离</w:t>
      </w:r>
    </w:p>
    <w:p>
      <w:pPr>
        <w:ind w:firstLine="640" w:firstLineChars="200"/>
        <w:rPr>
          <w:rFonts w:ascii="Arial" w:hAnsi="Arial" w:eastAsia="仿宋_GB2312" w:cs="Arial"/>
          <w:sz w:val="32"/>
        </w:rPr>
      </w:pPr>
      <w:r>
        <w:rPr>
          <w:rFonts w:hint="eastAsia" w:ascii="Arial" w:hAnsi="Arial" w:eastAsia="仿宋_GB2312" w:cs="Arial"/>
          <w:sz w:val="32"/>
        </w:rPr>
        <w:t>交易双方和集中后实体应尽可能采取或促使相关实体采取所有必要措施，以确保交易双方和集中后实体自生效日起不会获得与剥离业务相关的任何保密信息，且交易双方和集中后实体将删除并不再使用在生效日前获得的任何该等保密信息。交易双方和集中后实体可以获取或保留与剥离业务相关且对剥离业务的剥离而言合理必要的信息，或根据法律规定应向交易双方和集中后实体披露的信息。但在完成剥离后，交易双方和集中后实体必须删除并不再使用与剥离业务相关的任何信息。</w:t>
      </w:r>
    </w:p>
    <w:p>
      <w:pPr>
        <w:ind w:firstLine="640" w:firstLineChars="200"/>
        <w:rPr>
          <w:rFonts w:ascii="Arial" w:hAnsi="Arial" w:eastAsia="仿宋_GB2312" w:cs="Arial"/>
          <w:sz w:val="32"/>
        </w:rPr>
      </w:pPr>
    </w:p>
    <w:p>
      <w:pPr>
        <w:ind w:firstLine="642" w:firstLineChars="200"/>
        <w:rPr>
          <w:rFonts w:ascii="Arial" w:hAnsi="Arial" w:eastAsia="仿宋_GB2312" w:cs="Arial"/>
          <w:b/>
          <w:bCs/>
          <w:sz w:val="32"/>
          <w:lang w:val="en-GB"/>
        </w:rPr>
      </w:pPr>
      <w:r>
        <w:rPr>
          <w:rFonts w:hint="eastAsia" w:ascii="Arial" w:hAnsi="Arial" w:eastAsia="仿宋_GB2312" w:cs="Arial"/>
          <w:b/>
          <w:bCs/>
          <w:sz w:val="32"/>
          <w:lang w:val="en-GB"/>
        </w:rPr>
        <w:t>六、不招揽条款</w:t>
      </w:r>
    </w:p>
    <w:p>
      <w:pPr>
        <w:ind w:firstLine="640" w:firstLineChars="200"/>
        <w:rPr>
          <w:rFonts w:ascii="Arial" w:hAnsi="Arial" w:eastAsia="仿宋_GB2312" w:cs="Arial"/>
          <w:sz w:val="32"/>
        </w:rPr>
      </w:pPr>
      <w:r>
        <w:rPr>
          <w:rFonts w:hint="eastAsia" w:ascii="Arial" w:hAnsi="Arial" w:eastAsia="仿宋_GB2312" w:cs="Arial"/>
          <w:sz w:val="32"/>
        </w:rPr>
        <w:t>交易双方和集中后实体承诺，在交割后三年内不招揽且保证其关联实体不招揽与剥离业务一起转移的关键人员。</w:t>
      </w:r>
    </w:p>
    <w:p>
      <w:pPr>
        <w:ind w:firstLine="640" w:firstLineChars="200"/>
        <w:rPr>
          <w:rFonts w:ascii="Arial" w:hAnsi="Arial" w:eastAsia="仿宋_GB2312" w:cs="Arial"/>
          <w:sz w:val="32"/>
        </w:rPr>
      </w:pPr>
    </w:p>
    <w:p>
      <w:pPr>
        <w:pStyle w:val="17"/>
        <w:ind w:left="840"/>
        <w:rPr>
          <w:rFonts w:ascii="Arial" w:hAnsi="Arial" w:eastAsia="仿宋_GB2312" w:cs="Arial"/>
          <w:b/>
          <w:bCs/>
          <w:sz w:val="32"/>
          <w:lang w:val="en-GB" w:eastAsia="zh-CN"/>
        </w:rPr>
      </w:pPr>
      <w:r>
        <w:rPr>
          <w:rFonts w:hint="eastAsia" w:ascii="Arial" w:hAnsi="Arial" w:eastAsia="仿宋_GB2312" w:cs="Arial"/>
          <w:b/>
          <w:bCs/>
          <w:sz w:val="32"/>
          <w:lang w:val="en-GB" w:eastAsia="zh-CN"/>
        </w:rPr>
        <w:t>七、尽职调查</w:t>
      </w:r>
    </w:p>
    <w:p>
      <w:pPr>
        <w:ind w:firstLine="640" w:firstLineChars="200"/>
        <w:rPr>
          <w:rFonts w:ascii="Arial" w:hAnsi="Arial" w:eastAsia="仿宋_GB2312" w:cs="Arial"/>
          <w:sz w:val="32"/>
        </w:rPr>
      </w:pPr>
      <w:r>
        <w:rPr>
          <w:rFonts w:hint="eastAsia" w:ascii="Arial" w:hAnsi="Arial" w:eastAsia="仿宋_GB2312" w:cs="Arial"/>
          <w:sz w:val="32"/>
        </w:rPr>
        <w:t>为了确保潜在剥离买方能够对剥离业务进行合理的尽职调查，在不违反惯常保密性保证和程序的前提下，且视剥离过程所处的不同阶段，交易双方和集中后实体应：</w:t>
      </w:r>
    </w:p>
    <w:p>
      <w:pPr>
        <w:ind w:firstLine="640" w:firstLineChars="200"/>
        <w:rPr>
          <w:rFonts w:ascii="Arial" w:hAnsi="Arial" w:eastAsia="仿宋_GB2312" w:cs="Arial"/>
          <w:sz w:val="32"/>
        </w:rPr>
      </w:pPr>
      <w:r>
        <w:rPr>
          <w:rFonts w:hint="eastAsia" w:ascii="Arial" w:hAnsi="Arial" w:eastAsia="仿宋_GB2312" w:cs="Arial"/>
          <w:sz w:val="32"/>
        </w:rPr>
        <w:t>1</w:t>
      </w:r>
      <w:r>
        <w:rPr>
          <w:rFonts w:ascii="Arial" w:hAnsi="Arial" w:eastAsia="仿宋_GB2312" w:cs="Arial"/>
          <w:sz w:val="32"/>
        </w:rPr>
        <w:t xml:space="preserve">. </w:t>
      </w:r>
      <w:r>
        <w:rPr>
          <w:rFonts w:hint="eastAsia" w:ascii="Arial" w:hAnsi="Arial" w:eastAsia="仿宋_GB2312" w:cs="Arial"/>
          <w:sz w:val="32"/>
        </w:rPr>
        <w:t>向潜在剥离买方提供关于剥离业务的充分信息；</w:t>
      </w:r>
    </w:p>
    <w:p>
      <w:pPr>
        <w:ind w:firstLine="640" w:firstLineChars="200"/>
        <w:rPr>
          <w:rFonts w:ascii="Arial" w:hAnsi="Arial" w:eastAsia="仿宋_GB2312" w:cs="Arial"/>
          <w:sz w:val="32"/>
        </w:rPr>
      </w:pPr>
      <w:r>
        <w:rPr>
          <w:rFonts w:hint="eastAsia" w:ascii="Arial" w:hAnsi="Arial" w:eastAsia="仿宋_GB2312" w:cs="Arial"/>
          <w:sz w:val="32"/>
        </w:rPr>
        <w:t>2</w:t>
      </w:r>
      <w:r>
        <w:rPr>
          <w:rFonts w:ascii="Arial" w:hAnsi="Arial" w:eastAsia="仿宋_GB2312" w:cs="Arial"/>
          <w:sz w:val="32"/>
        </w:rPr>
        <w:t xml:space="preserve">. </w:t>
      </w:r>
      <w:r>
        <w:rPr>
          <w:rFonts w:hint="eastAsia" w:ascii="Arial" w:hAnsi="Arial" w:eastAsia="仿宋_GB2312" w:cs="Arial"/>
          <w:sz w:val="32"/>
        </w:rPr>
        <w:t>向潜在剥离买方提供关于人员的充分信息，并允许潜在剥离买方合理地接触人员。</w:t>
      </w:r>
    </w:p>
    <w:p>
      <w:pPr>
        <w:ind w:firstLine="640" w:firstLineChars="200"/>
        <w:rPr>
          <w:rFonts w:ascii="Arial" w:hAnsi="Arial" w:eastAsia="仿宋_GB2312" w:cs="Arial"/>
          <w:sz w:val="32"/>
        </w:rPr>
      </w:pPr>
    </w:p>
    <w:p>
      <w:pPr>
        <w:pStyle w:val="17"/>
        <w:ind w:left="840"/>
        <w:rPr>
          <w:rFonts w:ascii="Arial" w:hAnsi="Arial" w:eastAsia="仿宋_GB2312" w:cs="Arial"/>
          <w:b/>
          <w:bCs/>
          <w:sz w:val="32"/>
          <w:lang w:val="en-GB" w:eastAsia="zh-CN"/>
        </w:rPr>
      </w:pPr>
      <w:r>
        <w:rPr>
          <w:rFonts w:hint="eastAsia" w:ascii="Arial" w:hAnsi="Arial" w:eastAsia="仿宋_GB2312" w:cs="Arial"/>
          <w:b/>
          <w:bCs/>
          <w:sz w:val="32"/>
          <w:lang w:val="en-GB" w:eastAsia="zh-CN"/>
        </w:rPr>
        <w:t>八、自行剥离和受托剥离</w:t>
      </w:r>
    </w:p>
    <w:p>
      <w:pPr>
        <w:pStyle w:val="17"/>
        <w:ind w:left="0" w:firstLine="640" w:firstLineChars="200"/>
        <w:contextualSpacing w:val="0"/>
        <w:rPr>
          <w:rFonts w:ascii="Arial" w:hAnsi="Arial" w:eastAsia="仿宋_GB2312" w:cs="Arial"/>
          <w:sz w:val="32"/>
          <w:lang w:eastAsia="zh-CN"/>
        </w:rPr>
      </w:pPr>
      <w:r>
        <w:rPr>
          <w:rFonts w:ascii="Arial" w:hAnsi="Arial" w:eastAsia="仿宋_GB2312" w:cs="Arial"/>
          <w:sz w:val="32"/>
          <w:lang w:eastAsia="zh-CN"/>
        </w:rPr>
        <w:t xml:space="preserve">1. </w:t>
      </w:r>
      <w:r>
        <w:rPr>
          <w:rFonts w:hint="eastAsia" w:ascii="Arial" w:hAnsi="Arial" w:eastAsia="仿宋_GB2312" w:cs="Arial"/>
          <w:sz w:val="32"/>
        </w:rPr>
        <w:t>【保密</w:t>
      </w:r>
      <w:r>
        <w:rPr>
          <w:rFonts w:hint="eastAsia" w:ascii="Arial" w:hAnsi="Arial" w:eastAsia="仿宋_GB2312" w:cs="Arial"/>
          <w:sz w:val="32"/>
          <w:lang w:eastAsia="zh-CN"/>
        </w:rPr>
        <w:t>信息</w:t>
      </w:r>
      <w:r>
        <w:rPr>
          <w:rFonts w:hint="eastAsia" w:ascii="Arial" w:hAnsi="Arial" w:eastAsia="仿宋_GB2312" w:cs="Arial"/>
          <w:sz w:val="32"/>
        </w:rPr>
        <w:t>】</w:t>
      </w:r>
    </w:p>
    <w:p>
      <w:pPr>
        <w:pStyle w:val="17"/>
        <w:ind w:left="0" w:firstLine="640" w:firstLineChars="200"/>
        <w:contextualSpacing w:val="0"/>
        <w:rPr>
          <w:rFonts w:ascii="Arial" w:hAnsi="Arial" w:eastAsia="仿宋_GB2312" w:cs="Arial"/>
          <w:sz w:val="32"/>
        </w:rPr>
      </w:pPr>
      <w:r>
        <w:rPr>
          <w:rFonts w:ascii="Arial" w:hAnsi="Arial" w:eastAsia="仿宋_GB2312" w:cs="Arial"/>
          <w:sz w:val="32"/>
        </w:rPr>
        <w:t xml:space="preserve">2. </w:t>
      </w:r>
      <w:r>
        <w:rPr>
          <w:rFonts w:hint="eastAsia" w:ascii="Arial" w:hAnsi="Arial" w:eastAsia="仿宋_GB2312" w:cs="Arial"/>
          <w:sz w:val="32"/>
          <w:lang w:eastAsia="zh-CN"/>
        </w:rPr>
        <w:t>交易双方和集中后实体应当在审查决定生效日起的</w:t>
      </w:r>
      <w:r>
        <w:rPr>
          <w:rFonts w:hint="eastAsia" w:ascii="Arial" w:hAnsi="Arial" w:eastAsia="仿宋_GB2312" w:cs="Arial"/>
          <w:sz w:val="32"/>
          <w:lang w:val="en-US" w:eastAsia="zh-CN"/>
        </w:rPr>
        <w:t>6</w:t>
      </w:r>
      <w:r>
        <w:rPr>
          <w:rFonts w:hint="eastAsia" w:ascii="Arial" w:hAnsi="Arial" w:eastAsia="仿宋_GB2312" w:cs="Arial"/>
          <w:sz w:val="32"/>
          <w:lang w:eastAsia="zh-CN"/>
        </w:rPr>
        <w:t>个月内完成剥离，</w:t>
      </w:r>
      <w:r>
        <w:rPr>
          <w:rFonts w:hint="eastAsia" w:ascii="Times New Roman" w:hAnsi="Times New Roman" w:eastAsia="仿宋_GB2312" w:cs="Times New Roman"/>
          <w:sz w:val="32"/>
          <w:lang w:val="en-GB" w:eastAsia="zh-CN"/>
        </w:rPr>
        <w:t>如到期无法完成，</w:t>
      </w:r>
      <w:r>
        <w:rPr>
          <w:rFonts w:hint="eastAsia" w:ascii="Arial" w:hAnsi="Arial" w:eastAsia="仿宋_GB2312" w:cs="Arial"/>
          <w:sz w:val="32"/>
        </w:rPr>
        <w:t>经剥离义务人申请并说明理由，市场监管总局可以延长</w:t>
      </w:r>
      <w:r>
        <w:rPr>
          <w:rFonts w:hint="eastAsia" w:ascii="Arial" w:hAnsi="Arial" w:eastAsia="仿宋_GB2312" w:cs="Arial"/>
          <w:sz w:val="32"/>
          <w:lang w:val="en-US" w:eastAsia="zh-CN"/>
        </w:rPr>
        <w:t>3</w:t>
      </w:r>
      <w:r>
        <w:rPr>
          <w:rFonts w:hint="eastAsia" w:ascii="Arial" w:hAnsi="Arial" w:eastAsia="仿宋_GB2312" w:cs="Arial"/>
          <w:sz w:val="32"/>
        </w:rPr>
        <w:t>个月。</w:t>
      </w:r>
    </w:p>
    <w:p>
      <w:pPr>
        <w:tabs>
          <w:tab w:val="left" w:pos="1824"/>
        </w:tabs>
        <w:ind w:firstLine="640" w:firstLineChars="200"/>
        <w:rPr>
          <w:rFonts w:ascii="Arial" w:hAnsi="Arial" w:eastAsia="仿宋_GB2312" w:cs="Arial"/>
          <w:sz w:val="32"/>
        </w:rPr>
      </w:pPr>
      <w:r>
        <w:rPr>
          <w:rFonts w:ascii="Arial" w:hAnsi="Arial" w:eastAsia="仿宋_GB2312" w:cs="Arial"/>
          <w:sz w:val="32"/>
        </w:rPr>
        <w:t>3</w:t>
      </w:r>
      <w:r>
        <w:rPr>
          <w:rFonts w:hint="eastAsia" w:ascii="Arial" w:hAnsi="Arial" w:eastAsia="仿宋_GB2312" w:cs="Arial"/>
          <w:sz w:val="32"/>
        </w:rPr>
        <w:t>. 剥离义务人未能在上述规定期限内完成剥离的，剥离义务人应根据《经营者集中审查暂行规定》委托剥离受托人寻找合适的剥离业务买方并完成剥离。</w:t>
      </w:r>
    </w:p>
    <w:p>
      <w:pPr>
        <w:tabs>
          <w:tab w:val="left" w:pos="1824"/>
        </w:tabs>
        <w:ind w:firstLine="640" w:firstLineChars="200"/>
        <w:rPr>
          <w:rFonts w:ascii="Arial" w:hAnsi="Arial" w:eastAsia="仿宋_GB2312" w:cs="Arial"/>
          <w:sz w:val="32"/>
        </w:rPr>
      </w:pPr>
    </w:p>
    <w:p>
      <w:pPr>
        <w:jc w:val="center"/>
        <w:rPr>
          <w:rFonts w:ascii="Arial" w:hAnsi="Arial" w:eastAsia="黑体" w:cs="Arial"/>
          <w:b/>
          <w:bCs/>
          <w:sz w:val="32"/>
        </w:rPr>
      </w:pPr>
      <w:r>
        <w:rPr>
          <w:rFonts w:ascii="Arial" w:hAnsi="Arial" w:eastAsia="黑体" w:cs="Arial"/>
          <w:b/>
          <w:bCs/>
          <w:sz w:val="32"/>
        </w:rPr>
        <w:t>第</w:t>
      </w:r>
      <w:r>
        <w:rPr>
          <w:rFonts w:hint="eastAsia" w:ascii="Arial" w:hAnsi="Arial" w:eastAsia="黑体" w:cs="Arial"/>
          <w:b/>
          <w:bCs/>
          <w:sz w:val="32"/>
        </w:rPr>
        <w:t>四</w:t>
      </w:r>
      <w:r>
        <w:rPr>
          <w:rFonts w:ascii="Arial" w:hAnsi="Arial" w:eastAsia="黑体" w:cs="Arial"/>
          <w:b/>
          <w:bCs/>
          <w:sz w:val="32"/>
        </w:rPr>
        <w:t>部分 报</w:t>
      </w:r>
      <w:r>
        <w:rPr>
          <w:rFonts w:hint="eastAsia" w:ascii="Arial" w:hAnsi="Arial" w:eastAsia="黑体" w:cs="Arial"/>
          <w:b/>
          <w:bCs/>
          <w:sz w:val="32"/>
        </w:rPr>
        <w:t xml:space="preserve"> </w:t>
      </w:r>
      <w:r>
        <w:rPr>
          <w:rFonts w:ascii="Arial" w:hAnsi="Arial" w:eastAsia="黑体" w:cs="Arial"/>
          <w:b/>
          <w:bCs/>
          <w:sz w:val="32"/>
        </w:rPr>
        <w:t>告</w:t>
      </w:r>
    </w:p>
    <w:p>
      <w:pPr>
        <w:pStyle w:val="17"/>
        <w:ind w:left="0" w:firstLine="640" w:firstLineChars="200"/>
        <w:contextualSpacing w:val="0"/>
        <w:rPr>
          <w:rFonts w:ascii="Arial" w:hAnsi="Arial" w:eastAsia="仿宋_GB2312" w:cs="Arial"/>
          <w:sz w:val="32"/>
          <w:lang w:eastAsia="zh-CN"/>
        </w:rPr>
      </w:pPr>
      <w:r>
        <w:rPr>
          <w:rFonts w:ascii="Arial" w:hAnsi="Arial" w:eastAsia="仿宋_GB2312" w:cs="Arial"/>
          <w:sz w:val="32"/>
          <w:lang w:eastAsia="zh-CN"/>
        </w:rPr>
        <w:t xml:space="preserve">1. </w:t>
      </w:r>
      <w:r>
        <w:rPr>
          <w:rFonts w:hint="eastAsia" w:ascii="Arial" w:hAnsi="Arial" w:eastAsia="仿宋_GB2312" w:cs="Arial"/>
          <w:sz w:val="32"/>
          <w:lang w:eastAsia="zh-CN"/>
        </w:rPr>
        <w:t>交易双方与集中后实体应向市场监管总局及监督受托人提交关于剥离买方的书面报告，并向市场监管总局及时汇报剥离进展。</w:t>
      </w:r>
    </w:p>
    <w:p>
      <w:pPr>
        <w:pStyle w:val="17"/>
        <w:ind w:left="0" w:firstLine="640" w:firstLineChars="200"/>
        <w:contextualSpacing w:val="0"/>
        <w:rPr>
          <w:rFonts w:ascii="Arial" w:hAnsi="Arial" w:eastAsia="仿宋_GB2312" w:cs="Arial"/>
          <w:sz w:val="32"/>
          <w:lang w:eastAsia="zh-CN"/>
        </w:rPr>
      </w:pPr>
      <w:r>
        <w:rPr>
          <w:rFonts w:ascii="Arial" w:hAnsi="Arial" w:eastAsia="仿宋_GB2312" w:cs="Arial"/>
          <w:sz w:val="32"/>
          <w:lang w:eastAsia="zh-CN"/>
        </w:rPr>
        <w:t xml:space="preserve">2. </w:t>
      </w:r>
      <w:r>
        <w:rPr>
          <w:rFonts w:hint="eastAsia" w:ascii="Arial" w:hAnsi="Arial" w:eastAsia="仿宋_GB2312" w:cs="Arial"/>
          <w:sz w:val="32"/>
          <w:lang w:eastAsia="zh-CN"/>
        </w:rPr>
        <w:t>自生效日起，集中后实体应每年向市场监管总局及监督受托人</w:t>
      </w:r>
      <w:r>
        <w:rPr>
          <w:rFonts w:ascii="Arial" w:hAnsi="Arial" w:eastAsia="仿宋_GB2312" w:cs="Arial"/>
          <w:sz w:val="32"/>
          <w:lang w:eastAsia="zh-CN"/>
        </w:rPr>
        <w:t>报告</w:t>
      </w:r>
      <w:r>
        <w:rPr>
          <w:rFonts w:hint="eastAsia" w:ascii="Arial" w:hAnsi="Arial" w:eastAsia="仿宋_GB2312" w:cs="Arial"/>
          <w:sz w:val="32"/>
          <w:lang w:eastAsia="zh-CN"/>
        </w:rPr>
        <w:t>承诺</w:t>
      </w:r>
      <w:r>
        <w:rPr>
          <w:rFonts w:ascii="Arial" w:hAnsi="Arial" w:eastAsia="仿宋_GB2312" w:cs="Arial"/>
          <w:sz w:val="32"/>
          <w:lang w:eastAsia="zh-CN"/>
        </w:rPr>
        <w:t>履行情况。</w:t>
      </w:r>
    </w:p>
    <w:p>
      <w:pPr>
        <w:pStyle w:val="17"/>
        <w:ind w:left="0" w:firstLine="640" w:firstLineChars="200"/>
        <w:contextualSpacing w:val="0"/>
        <w:rPr>
          <w:rFonts w:ascii="Arial" w:hAnsi="Arial" w:eastAsia="仿宋_GB2312" w:cs="Arial"/>
          <w:sz w:val="32"/>
          <w:lang w:eastAsia="zh-CN"/>
        </w:rPr>
      </w:pPr>
      <w:r>
        <w:rPr>
          <w:rFonts w:ascii="Arial" w:hAnsi="Arial" w:eastAsia="仿宋_GB2312" w:cs="Arial"/>
          <w:sz w:val="32"/>
          <w:lang w:eastAsia="zh-CN"/>
        </w:rPr>
        <w:t>3. 为履行</w:t>
      </w:r>
      <w:r>
        <w:rPr>
          <w:rFonts w:hint="eastAsia" w:ascii="Arial" w:hAnsi="Arial" w:eastAsia="仿宋_GB2312" w:cs="Arial"/>
          <w:sz w:val="32"/>
          <w:lang w:eastAsia="zh-CN"/>
        </w:rPr>
        <w:t>限制</w:t>
      </w:r>
      <w:r>
        <w:rPr>
          <w:rFonts w:ascii="Arial" w:hAnsi="Arial" w:eastAsia="仿宋_GB2312" w:cs="Arial"/>
          <w:sz w:val="32"/>
          <w:lang w:eastAsia="zh-CN"/>
        </w:rPr>
        <w:t>性条件，</w:t>
      </w:r>
      <w:r>
        <w:rPr>
          <w:rFonts w:hint="eastAsia" w:ascii="Arial" w:hAnsi="Arial" w:eastAsia="仿宋_GB2312" w:cs="Arial"/>
          <w:sz w:val="32"/>
          <w:lang w:eastAsia="zh-CN"/>
        </w:rPr>
        <w:t>交易双方与集中后实体</w:t>
      </w:r>
      <w:r>
        <w:rPr>
          <w:rFonts w:ascii="Arial" w:hAnsi="Arial" w:eastAsia="仿宋_GB2312" w:cs="Arial"/>
          <w:sz w:val="32"/>
          <w:lang w:eastAsia="zh-CN"/>
        </w:rPr>
        <w:t>应</w:t>
      </w:r>
      <w:r>
        <w:rPr>
          <w:rFonts w:hint="eastAsia" w:ascii="Arial" w:hAnsi="Arial" w:eastAsia="仿宋_GB2312" w:cs="Arial"/>
          <w:sz w:val="32"/>
          <w:lang w:eastAsia="zh-CN"/>
        </w:rPr>
        <w:t>制定</w:t>
      </w:r>
      <w:r>
        <w:rPr>
          <w:rFonts w:ascii="Arial" w:hAnsi="Arial" w:eastAsia="仿宋_GB2312" w:cs="Arial"/>
          <w:sz w:val="32"/>
          <w:lang w:eastAsia="zh-CN"/>
        </w:rPr>
        <w:t>具体履行方案提交市场监管总局审查，并在市场监管总局批准后执行。</w:t>
      </w:r>
    </w:p>
    <w:p>
      <w:pPr>
        <w:pStyle w:val="17"/>
        <w:ind w:left="0" w:firstLine="640" w:firstLineChars="200"/>
        <w:contextualSpacing w:val="0"/>
        <w:rPr>
          <w:rFonts w:ascii="Arial" w:hAnsi="Arial" w:eastAsia="仿宋_GB2312" w:cs="Arial"/>
          <w:sz w:val="32"/>
          <w:lang w:eastAsia="zh-CN"/>
        </w:rPr>
      </w:pPr>
    </w:p>
    <w:p>
      <w:pPr>
        <w:jc w:val="center"/>
        <w:rPr>
          <w:rFonts w:ascii="Arial" w:hAnsi="Arial" w:eastAsia="黑体" w:cs="Arial"/>
          <w:b/>
          <w:bCs/>
          <w:sz w:val="32"/>
        </w:rPr>
      </w:pPr>
      <w:r>
        <w:rPr>
          <w:rFonts w:ascii="Arial" w:hAnsi="Arial" w:eastAsia="黑体" w:cs="Arial"/>
          <w:b/>
          <w:bCs/>
          <w:sz w:val="32"/>
        </w:rPr>
        <w:t>第</w:t>
      </w:r>
      <w:r>
        <w:rPr>
          <w:rFonts w:hint="eastAsia" w:ascii="Arial" w:hAnsi="Arial" w:eastAsia="黑体" w:cs="Arial"/>
          <w:b/>
          <w:bCs/>
          <w:sz w:val="32"/>
        </w:rPr>
        <w:t>五</w:t>
      </w:r>
      <w:r>
        <w:rPr>
          <w:rFonts w:ascii="Arial" w:hAnsi="Arial" w:eastAsia="黑体" w:cs="Arial"/>
          <w:b/>
          <w:bCs/>
          <w:sz w:val="32"/>
        </w:rPr>
        <w:t>部分 其他事项</w:t>
      </w:r>
    </w:p>
    <w:p>
      <w:pPr>
        <w:pStyle w:val="17"/>
        <w:ind w:left="0" w:firstLine="640" w:firstLineChars="200"/>
        <w:contextualSpacing w:val="0"/>
        <w:rPr>
          <w:rFonts w:ascii="Arial" w:hAnsi="Arial" w:eastAsia="仿宋_GB2312" w:cs="Arial"/>
          <w:sz w:val="32"/>
          <w:lang w:eastAsia="zh-CN"/>
        </w:rPr>
      </w:pPr>
      <w:r>
        <w:rPr>
          <w:rFonts w:ascii="Arial" w:hAnsi="Arial" w:eastAsia="仿宋_GB2312" w:cs="Arial"/>
          <w:sz w:val="32"/>
          <w:lang w:eastAsia="zh-CN"/>
        </w:rPr>
        <w:t xml:space="preserve">1. </w:t>
      </w:r>
      <w:r>
        <w:rPr>
          <w:rFonts w:hint="eastAsia" w:ascii="Arial" w:hAnsi="Arial" w:eastAsia="仿宋_GB2312" w:cs="Arial"/>
          <w:sz w:val="32"/>
          <w:lang w:eastAsia="zh-CN"/>
        </w:rPr>
        <w:t>交易双方和集中后实体将委托</w:t>
      </w:r>
      <w:r>
        <w:rPr>
          <w:rFonts w:ascii="Arial" w:hAnsi="Arial" w:eastAsia="仿宋_GB2312" w:cs="Arial"/>
          <w:sz w:val="32"/>
          <w:lang w:eastAsia="zh-CN"/>
        </w:rPr>
        <w:t>监督受托人，监督受托人应根据</w:t>
      </w:r>
      <w:r>
        <w:rPr>
          <w:rFonts w:hint="eastAsia" w:ascii="Arial" w:hAnsi="Arial" w:eastAsia="仿宋_GB2312" w:cs="Arial"/>
          <w:sz w:val="32"/>
          <w:lang w:eastAsia="zh-CN"/>
        </w:rPr>
        <w:t>《经营者集中审查暂行规定》</w:t>
      </w:r>
      <w:r>
        <w:rPr>
          <w:rFonts w:ascii="Arial" w:hAnsi="Arial" w:eastAsia="仿宋_GB2312" w:cs="Arial"/>
          <w:sz w:val="32"/>
          <w:lang w:eastAsia="zh-CN"/>
        </w:rPr>
        <w:t>监督交易双方</w:t>
      </w:r>
      <w:r>
        <w:rPr>
          <w:rFonts w:hint="eastAsia" w:ascii="Arial" w:hAnsi="Arial" w:eastAsia="仿宋_GB2312" w:cs="Arial"/>
          <w:sz w:val="32"/>
          <w:lang w:eastAsia="zh-CN"/>
        </w:rPr>
        <w:t>和集中后实体</w:t>
      </w:r>
      <w:r>
        <w:rPr>
          <w:rFonts w:ascii="Arial" w:hAnsi="Arial" w:eastAsia="仿宋_GB2312" w:cs="Arial"/>
          <w:sz w:val="32"/>
          <w:lang w:eastAsia="zh-CN"/>
        </w:rPr>
        <w:t>对决定所附</w:t>
      </w:r>
      <w:r>
        <w:rPr>
          <w:rFonts w:hint="eastAsia" w:ascii="Arial" w:hAnsi="Arial" w:eastAsia="仿宋_GB2312" w:cs="Arial"/>
          <w:sz w:val="32"/>
          <w:lang w:eastAsia="zh-CN"/>
        </w:rPr>
        <w:t>限制性</w:t>
      </w:r>
      <w:r>
        <w:rPr>
          <w:rFonts w:ascii="Arial" w:hAnsi="Arial" w:eastAsia="仿宋_GB2312" w:cs="Arial"/>
          <w:sz w:val="32"/>
          <w:lang w:eastAsia="zh-CN"/>
        </w:rPr>
        <w:t>条件的遵守情况。</w:t>
      </w:r>
    </w:p>
    <w:p>
      <w:pPr>
        <w:pStyle w:val="17"/>
        <w:ind w:left="0" w:firstLine="640" w:firstLineChars="200"/>
        <w:contextualSpacing w:val="0"/>
        <w:rPr>
          <w:rFonts w:ascii="Arial" w:hAnsi="Arial" w:eastAsia="仿宋_GB2312" w:cs="Arial"/>
          <w:sz w:val="32"/>
          <w:lang w:eastAsia="zh-CN"/>
        </w:rPr>
      </w:pPr>
      <w:r>
        <w:rPr>
          <w:rFonts w:ascii="Arial" w:hAnsi="Arial" w:eastAsia="仿宋_GB2312" w:cs="Arial"/>
          <w:sz w:val="32"/>
          <w:lang w:eastAsia="zh-CN"/>
        </w:rPr>
        <w:t>2. 限制性条件受所有适用</w:t>
      </w:r>
      <w:r>
        <w:rPr>
          <w:rFonts w:hint="eastAsia" w:ascii="Arial" w:hAnsi="Arial" w:eastAsia="仿宋_GB2312" w:cs="Arial"/>
          <w:sz w:val="32"/>
          <w:lang w:eastAsia="zh-CN"/>
        </w:rPr>
        <w:t>的中国</w:t>
      </w:r>
      <w:r>
        <w:rPr>
          <w:rFonts w:ascii="Arial" w:hAnsi="Arial" w:eastAsia="仿宋_GB2312" w:cs="Arial"/>
          <w:sz w:val="32"/>
          <w:lang w:eastAsia="zh-CN"/>
        </w:rPr>
        <w:t>法律和法规的约束。市场监管总局有权自行或者</w:t>
      </w:r>
      <w:r>
        <w:rPr>
          <w:rFonts w:hint="eastAsia" w:ascii="Arial" w:hAnsi="Arial" w:eastAsia="仿宋_GB2312" w:cs="Arial"/>
          <w:sz w:val="32"/>
          <w:lang w:eastAsia="zh-CN"/>
        </w:rPr>
        <w:t>通过监督受托人</w:t>
      </w:r>
      <w:r>
        <w:rPr>
          <w:rFonts w:ascii="Arial" w:hAnsi="Arial" w:eastAsia="仿宋_GB2312" w:cs="Arial"/>
          <w:sz w:val="32"/>
          <w:lang w:eastAsia="zh-CN"/>
        </w:rPr>
        <w:t>监督检查</w:t>
      </w:r>
      <w:r>
        <w:rPr>
          <w:rFonts w:hint="eastAsia" w:ascii="Arial" w:hAnsi="Arial" w:eastAsia="仿宋_GB2312" w:cs="Arial"/>
          <w:sz w:val="32"/>
          <w:lang w:eastAsia="zh-CN"/>
        </w:rPr>
        <w:t>交易双方与集中后实体</w:t>
      </w:r>
      <w:r>
        <w:rPr>
          <w:rFonts w:ascii="Arial" w:hAnsi="Arial" w:eastAsia="仿宋_GB2312" w:cs="Arial"/>
          <w:sz w:val="32"/>
          <w:lang w:eastAsia="zh-CN"/>
        </w:rPr>
        <w:t>履行上述限制性条件的情况。如</w:t>
      </w:r>
      <w:r>
        <w:rPr>
          <w:rFonts w:hint="eastAsia" w:ascii="Arial" w:hAnsi="Arial" w:eastAsia="仿宋_GB2312" w:cs="Arial"/>
          <w:sz w:val="32"/>
          <w:lang w:eastAsia="zh-CN"/>
        </w:rPr>
        <w:t>交易双方与集中后实体</w:t>
      </w:r>
      <w:r>
        <w:rPr>
          <w:rFonts w:ascii="Arial" w:hAnsi="Arial" w:eastAsia="仿宋_GB2312" w:cs="Arial"/>
          <w:sz w:val="32"/>
          <w:lang w:eastAsia="zh-CN"/>
        </w:rPr>
        <w:t>违反任何限制性条件，市场监管总局将根据《反垄断法》的相关规定作出</w:t>
      </w:r>
      <w:r>
        <w:rPr>
          <w:rFonts w:hint="eastAsia" w:ascii="Arial" w:hAnsi="Arial" w:eastAsia="仿宋_GB2312" w:cs="Arial"/>
          <w:sz w:val="32"/>
          <w:lang w:eastAsia="zh-CN"/>
        </w:rPr>
        <w:t>决定</w:t>
      </w:r>
      <w:r>
        <w:rPr>
          <w:rFonts w:ascii="Arial" w:hAnsi="Arial" w:eastAsia="仿宋_GB2312" w:cs="Arial"/>
          <w:sz w:val="32"/>
          <w:lang w:eastAsia="zh-CN"/>
        </w:rPr>
        <w:t>，</w:t>
      </w:r>
      <w:r>
        <w:rPr>
          <w:rFonts w:hint="eastAsia" w:ascii="Arial" w:hAnsi="Arial" w:eastAsia="仿宋_GB2312" w:cs="Arial"/>
          <w:sz w:val="32"/>
          <w:lang w:eastAsia="zh-CN"/>
        </w:rPr>
        <w:t>交易双方与集中后实体</w:t>
      </w:r>
      <w:r>
        <w:rPr>
          <w:rFonts w:ascii="Arial" w:hAnsi="Arial" w:eastAsia="仿宋_GB2312" w:cs="Arial"/>
          <w:sz w:val="32"/>
          <w:lang w:eastAsia="zh-CN"/>
        </w:rPr>
        <w:t>应承担相关法律责任。</w:t>
      </w:r>
    </w:p>
    <w:p>
      <w:pPr>
        <w:ind w:firstLine="640" w:firstLineChars="200"/>
        <w:rPr>
          <w:rFonts w:ascii="Arial" w:hAnsi="Arial" w:eastAsia="仿宋_GB2312" w:cs="Arial"/>
          <w:sz w:val="32"/>
        </w:rPr>
      </w:pPr>
      <w:r>
        <w:rPr>
          <w:rFonts w:ascii="Arial" w:hAnsi="Arial" w:eastAsia="仿宋_GB2312" w:cs="Arial"/>
          <w:sz w:val="32"/>
        </w:rPr>
        <w:t xml:space="preserve">3. </w:t>
      </w:r>
      <w:r>
        <w:rPr>
          <w:rFonts w:hint="eastAsia" w:ascii="Arial" w:hAnsi="Arial" w:eastAsia="仿宋_GB2312" w:cs="Arial"/>
          <w:sz w:val="32"/>
        </w:rPr>
        <w:t>自决定公告之日起五年后，环球晶圆和集中后实体可以向市场监管总局申请解除行为性限制条件。市场监管总局将依申请并根据法律规定作出是否解除的决定。未经解除，交易双方和集中后实体应继续履行限制性条件。</w:t>
      </w:r>
    </w:p>
    <w:p>
      <w:pPr>
        <w:pStyle w:val="17"/>
        <w:ind w:left="0" w:firstLine="640" w:firstLineChars="200"/>
        <w:contextualSpacing w:val="0"/>
        <w:rPr>
          <w:rFonts w:ascii="Arial" w:hAnsi="Arial" w:eastAsia="仿宋_GB2312" w:cs="Arial"/>
          <w:sz w:val="32"/>
          <w:lang w:eastAsia="zh-CN"/>
        </w:rPr>
      </w:pPr>
      <w:r>
        <w:rPr>
          <w:rFonts w:ascii="Arial" w:hAnsi="Arial" w:eastAsia="仿宋_GB2312" w:cs="Arial"/>
          <w:sz w:val="32"/>
          <w:lang w:eastAsia="zh-CN"/>
        </w:rPr>
        <w:t xml:space="preserve">4. </w:t>
      </w:r>
      <w:r>
        <w:rPr>
          <w:rFonts w:hint="eastAsia" w:ascii="Arial" w:hAnsi="Arial" w:eastAsia="仿宋_GB2312" w:cs="Arial"/>
          <w:sz w:val="32"/>
          <w:lang w:eastAsia="zh-CN"/>
        </w:rPr>
        <w:t>限制性条件自生效日起，如果相关市场的竞争状况发生重大改变，或本次交易的交易双方情况发生重大变更时，交易双方和集中后实体可向市场监管总局申请变更或解除第二部分的限制性条件。</w:t>
      </w:r>
    </w:p>
    <w:p>
      <w:pPr>
        <w:pStyle w:val="17"/>
        <w:ind w:left="0" w:firstLine="640" w:firstLineChars="200"/>
        <w:contextualSpacing w:val="0"/>
        <w:rPr>
          <w:rFonts w:ascii="Arial" w:hAnsi="Arial" w:eastAsia="仿宋_GB2312" w:cs="Arial"/>
          <w:sz w:val="32"/>
          <w:lang w:eastAsia="zh-CN"/>
        </w:rPr>
      </w:pPr>
      <w:r>
        <w:rPr>
          <w:rFonts w:hint="eastAsia" w:ascii="Arial" w:hAnsi="Arial" w:eastAsia="仿宋_GB2312" w:cs="Arial"/>
          <w:sz w:val="32"/>
          <w:lang w:eastAsia="zh-CN"/>
        </w:rPr>
        <w:t>5</w:t>
      </w:r>
      <w:r>
        <w:rPr>
          <w:rFonts w:ascii="Arial" w:hAnsi="Arial" w:eastAsia="仿宋_GB2312" w:cs="Arial"/>
          <w:sz w:val="32"/>
          <w:lang w:eastAsia="zh-CN"/>
        </w:rPr>
        <w:t xml:space="preserve">. </w:t>
      </w:r>
      <w:r>
        <w:rPr>
          <w:rFonts w:hint="eastAsia" w:ascii="Arial" w:hAnsi="Arial" w:eastAsia="仿宋_GB2312" w:cs="Arial"/>
          <w:sz w:val="32"/>
          <w:lang w:eastAsia="zh-CN"/>
        </w:rPr>
        <w:t>如果拟议交易因任何原因</w:t>
      </w:r>
      <w:bookmarkStart w:id="13" w:name="_GoBack"/>
      <w:bookmarkEnd w:id="13"/>
      <w:r>
        <w:rPr>
          <w:rFonts w:hint="eastAsia" w:ascii="Arial" w:hAnsi="Arial" w:eastAsia="仿宋_GB2312" w:cs="Arial"/>
          <w:sz w:val="32"/>
          <w:lang w:eastAsia="zh-CN"/>
        </w:rPr>
        <w:t>未交割，则限制性条件对交易双方和集中后的实体不具有拘束力。</w:t>
      </w:r>
    </w:p>
    <w:p>
      <w:pPr>
        <w:pStyle w:val="18"/>
        <w:tabs>
          <w:tab w:val="left" w:pos="850"/>
        </w:tabs>
        <w:spacing w:after="0" w:line="580" w:lineRule="exact"/>
        <w:ind w:firstLineChars="225"/>
        <w:rPr>
          <w:rFonts w:ascii="Arial" w:hAnsi="Arial" w:eastAsia="华文楷体"/>
          <w:sz w:val="32"/>
          <w:szCs w:val="32"/>
          <w:lang w:eastAsia="zh-CN"/>
        </w:rPr>
      </w:pPr>
    </w:p>
    <w:p>
      <w:pPr>
        <w:jc w:val="center"/>
        <w:rPr>
          <w:rFonts w:ascii="Arial" w:hAnsi="Arial" w:eastAsia="黑体" w:cs="Arial"/>
          <w:b/>
          <w:bCs/>
          <w:sz w:val="32"/>
        </w:rPr>
      </w:pPr>
      <w:r>
        <w:rPr>
          <w:rFonts w:ascii="Arial" w:hAnsi="Arial" w:eastAsia="黑体" w:cs="Arial"/>
          <w:b/>
          <w:bCs/>
          <w:sz w:val="32"/>
        </w:rPr>
        <w:t>第</w:t>
      </w:r>
      <w:r>
        <w:rPr>
          <w:rFonts w:hint="eastAsia" w:ascii="Arial" w:hAnsi="Arial" w:eastAsia="黑体" w:cs="Arial"/>
          <w:b/>
          <w:bCs/>
          <w:sz w:val="32"/>
        </w:rPr>
        <w:t>六</w:t>
      </w:r>
      <w:r>
        <w:rPr>
          <w:rFonts w:ascii="Arial" w:hAnsi="Arial" w:eastAsia="黑体" w:cs="Arial"/>
          <w:b/>
          <w:bCs/>
          <w:sz w:val="32"/>
        </w:rPr>
        <w:t>部分 生效</w:t>
      </w:r>
    </w:p>
    <w:p>
      <w:pPr>
        <w:pStyle w:val="18"/>
        <w:tabs>
          <w:tab w:val="left" w:pos="850"/>
        </w:tabs>
        <w:spacing w:after="0" w:line="580" w:lineRule="exact"/>
        <w:ind w:firstLine="640" w:firstLineChars="200"/>
        <w:rPr>
          <w:rFonts w:ascii="Arial" w:hAnsi="Arial" w:eastAsia="仿宋_GB2312"/>
          <w:sz w:val="32"/>
          <w:lang w:eastAsia="zh-CN"/>
        </w:rPr>
      </w:pPr>
      <w:r>
        <w:rPr>
          <w:rFonts w:ascii="Arial" w:hAnsi="Arial" w:eastAsia="仿宋_GB2312"/>
          <w:sz w:val="32"/>
          <w:lang w:eastAsia="zh-CN"/>
        </w:rPr>
        <w:t>本限制性条件</w:t>
      </w:r>
      <w:r>
        <w:rPr>
          <w:rFonts w:hint="eastAsia" w:ascii="Arial" w:hAnsi="Arial" w:eastAsia="仿宋_GB2312"/>
          <w:sz w:val="32"/>
          <w:lang w:eastAsia="zh-CN"/>
        </w:rPr>
        <w:t>自公告之日起生效。</w:t>
      </w:r>
    </w:p>
    <w:p>
      <w:pPr>
        <w:spacing w:line="580" w:lineRule="exact"/>
        <w:rPr>
          <w:rFonts w:ascii="Arial" w:hAnsi="Arial" w:eastAsia="华文楷体" w:cs="Arial"/>
          <w:sz w:val="32"/>
          <w:szCs w:val="32"/>
        </w:rPr>
      </w:pPr>
    </w:p>
    <w:p>
      <w:pPr>
        <w:widowControl/>
        <w:jc w:val="left"/>
        <w:rPr>
          <w:rFonts w:ascii="Arial" w:hAnsi="Arial" w:eastAsia="仿宋_GB2312" w:cs="Arial"/>
          <w:sz w:val="32"/>
        </w:rPr>
      </w:pPr>
      <w:r>
        <w:rPr>
          <w:rFonts w:ascii="Arial" w:hAnsi="Arial" w:eastAsia="仿宋_GB2312" w:cs="Arial"/>
          <w:b/>
          <w:sz w:val="32"/>
        </w:rPr>
        <w:t>附录</w:t>
      </w:r>
      <w:r>
        <w:rPr>
          <w:rFonts w:hint="eastAsia" w:ascii="Arial" w:hAnsi="Arial" w:eastAsia="仿宋_GB2312" w:cs="Arial"/>
          <w:sz w:val="32"/>
        </w:rPr>
        <w:t>：【保密</w:t>
      </w:r>
      <w:r>
        <w:rPr>
          <w:rFonts w:hint="eastAsia" w:ascii="Arial" w:hAnsi="Arial" w:eastAsia="仿宋_GB2312" w:cs="Arial"/>
          <w:sz w:val="32"/>
          <w:lang w:eastAsia="zh-CN"/>
        </w:rPr>
        <w:t>信息</w:t>
      </w:r>
      <w:r>
        <w:rPr>
          <w:rFonts w:hint="eastAsia" w:ascii="Arial" w:hAnsi="Arial" w:eastAsia="仿宋_GB2312" w:cs="Arial"/>
          <w:sz w:val="32"/>
        </w:rPr>
        <w:t>】</w:t>
      </w:r>
    </w:p>
    <w:p>
      <w:pPr>
        <w:widowControl/>
        <w:jc w:val="left"/>
        <w:rPr>
          <w:rFonts w:ascii="Arial" w:hAnsi="Arial" w:eastAsia="仿宋_GB2312" w:cs="Arial"/>
          <w:sz w:val="32"/>
        </w:rPr>
      </w:pPr>
    </w:p>
    <w:p>
      <w:pPr>
        <w:widowControl/>
        <w:jc w:val="left"/>
        <w:rPr>
          <w:rFonts w:ascii="Arial" w:hAnsi="Arial" w:eastAsia="仿宋_GB2312" w:cs="Arial"/>
          <w:sz w:val="32"/>
        </w:rPr>
      </w:pPr>
    </w:p>
    <w:p>
      <w:pPr>
        <w:widowControl/>
        <w:jc w:val="left"/>
        <w:rPr>
          <w:rFonts w:ascii="Arial" w:hAnsi="Arial" w:eastAsia="仿宋_GB2312" w:cs="Arial"/>
          <w:sz w:val="32"/>
        </w:rPr>
      </w:pPr>
    </w:p>
    <w:p>
      <w:pPr>
        <w:widowControl/>
        <w:jc w:val="left"/>
        <w:rPr>
          <w:rFonts w:ascii="Arial" w:hAnsi="Arial" w:eastAsia="仿宋_GB2312" w:cs="Arial"/>
          <w:sz w:val="32"/>
        </w:rPr>
      </w:pPr>
    </w:p>
    <w:p>
      <w:pPr>
        <w:widowControl/>
        <w:jc w:val="left"/>
        <w:rPr>
          <w:rFonts w:ascii="Arial" w:hAnsi="Arial" w:eastAsia="仿宋_GB2312" w:cs="Arial"/>
          <w:sz w:val="32"/>
        </w:rPr>
      </w:pPr>
    </w:p>
    <w:p>
      <w:pPr>
        <w:widowControl/>
        <w:jc w:val="left"/>
        <w:rPr>
          <w:rFonts w:ascii="Arial" w:hAnsi="Arial" w:eastAsia="仿宋_GB2312" w:cs="Arial"/>
          <w:sz w:val="32"/>
        </w:rPr>
      </w:pPr>
    </w:p>
    <w:p>
      <w:pPr>
        <w:widowControl/>
        <w:jc w:val="left"/>
      </w:pP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0000019F" w:csb1="00000000"/>
  </w:font>
  <w:font w:name="MS Mincho">
    <w:altName w:val="Droid Sans Japanese"/>
    <w:panose1 w:val="02020609040205080304"/>
    <w:charset w:val="80"/>
    <w:family w:val="modern"/>
    <w:pitch w:val="default"/>
    <w:sig w:usb0="00000000" w:usb1="00000000" w:usb2="08000012" w:usb3="00000000" w:csb0="0002009F" w:csb1="00000000"/>
  </w:font>
  <w:font w:name="方正小标宋简体">
    <w:panose1 w:val="02000000000000000000"/>
    <w:charset w:val="86"/>
    <w:family w:val="roman"/>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华文楷体">
    <w:altName w:val="方正楷体_GBK"/>
    <w:panose1 w:val="02010600040101010101"/>
    <w:charset w:val="86"/>
    <w:family w:val="auto"/>
    <w:pitch w:val="default"/>
    <w:sig w:usb0="00000000" w:usb1="00000000" w:usb2="00000010" w:usb3="00000000" w:csb0="0004009F" w:csb1="00000000"/>
  </w:font>
  <w:font w:name="PMingLiU">
    <w:altName w:val="文泉驿微米黑"/>
    <w:panose1 w:val="02010601000101010101"/>
    <w:charset w:val="88"/>
    <w:family w:val="roman"/>
    <w:pitch w:val="default"/>
    <w:sig w:usb0="00000000" w:usb1="00000000" w:usb2="00000016" w:usb3="00000000" w:csb0="00100001"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楷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1172557"/>
    </w:sdtPr>
    <w:sdtContent>
      <w:p>
        <w:pPr>
          <w:pStyle w:val="5"/>
          <w:jc w:val="center"/>
        </w:pPr>
        <w:r>
          <w:fldChar w:fldCharType="begin"/>
        </w:r>
        <w:r>
          <w:instrText xml:space="preserve">PAGE   \* MERGEFORMAT</w:instrText>
        </w:r>
        <w:r>
          <w:fldChar w:fldCharType="separate"/>
        </w:r>
        <w:r>
          <w:rPr>
            <w:lang w:val="zh-CN"/>
          </w:rPr>
          <w:t>19</w:t>
        </w:r>
        <w:r>
          <w:rPr>
            <w:lang w:val="zh-CN"/>
          </w:rP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hint="eastAsia" w:ascii="楷体" w:hAnsi="楷体" w:eastAsia="楷体" w:cs="楷体"/>
        <w:b/>
        <w:bCs/>
        <w:lang w:eastAsia="zh-CN"/>
      </w:rPr>
    </w:pPr>
    <w:r>
      <w:rPr>
        <w:rFonts w:hint="eastAsia" w:ascii="楷体" w:hAnsi="楷体" w:eastAsia="楷体" w:cs="楷体"/>
        <w:b/>
        <w:bCs/>
        <w:lang w:eastAsia="zh-CN"/>
      </w:rPr>
      <w:t>公开版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hideSpellingErrors/>
  <w:hideGrammatical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704DB7"/>
    <w:rsid w:val="000049D5"/>
    <w:rsid w:val="00005FF2"/>
    <w:rsid w:val="00006C0B"/>
    <w:rsid w:val="00020A00"/>
    <w:rsid w:val="0002112E"/>
    <w:rsid w:val="00024C2F"/>
    <w:rsid w:val="00031105"/>
    <w:rsid w:val="00034562"/>
    <w:rsid w:val="00042CCC"/>
    <w:rsid w:val="00043451"/>
    <w:rsid w:val="00051C2B"/>
    <w:rsid w:val="00061BCB"/>
    <w:rsid w:val="00065906"/>
    <w:rsid w:val="00074B0F"/>
    <w:rsid w:val="0007577C"/>
    <w:rsid w:val="00083DF3"/>
    <w:rsid w:val="0008732C"/>
    <w:rsid w:val="000879F9"/>
    <w:rsid w:val="00093F14"/>
    <w:rsid w:val="000A02B4"/>
    <w:rsid w:val="000B4FCE"/>
    <w:rsid w:val="000B6E82"/>
    <w:rsid w:val="000D4BDF"/>
    <w:rsid w:val="000E3B72"/>
    <w:rsid w:val="000E4903"/>
    <w:rsid w:val="000E5E59"/>
    <w:rsid w:val="000E7B2A"/>
    <w:rsid w:val="000F2278"/>
    <w:rsid w:val="000F4DE1"/>
    <w:rsid w:val="001177AE"/>
    <w:rsid w:val="00117D3A"/>
    <w:rsid w:val="0012431E"/>
    <w:rsid w:val="00125BC0"/>
    <w:rsid w:val="0013485F"/>
    <w:rsid w:val="001351BB"/>
    <w:rsid w:val="00143642"/>
    <w:rsid w:val="00152292"/>
    <w:rsid w:val="0015236E"/>
    <w:rsid w:val="0016048A"/>
    <w:rsid w:val="001734CC"/>
    <w:rsid w:val="0018051E"/>
    <w:rsid w:val="00183158"/>
    <w:rsid w:val="001850B1"/>
    <w:rsid w:val="001855CC"/>
    <w:rsid w:val="001904AC"/>
    <w:rsid w:val="00192111"/>
    <w:rsid w:val="00193921"/>
    <w:rsid w:val="00194B7A"/>
    <w:rsid w:val="001A5927"/>
    <w:rsid w:val="001B0AE8"/>
    <w:rsid w:val="001B29E3"/>
    <w:rsid w:val="001B4C2B"/>
    <w:rsid w:val="001C00EF"/>
    <w:rsid w:val="001C10DA"/>
    <w:rsid w:val="001C16B9"/>
    <w:rsid w:val="001C1E0E"/>
    <w:rsid w:val="001D6CDC"/>
    <w:rsid w:val="001E45E5"/>
    <w:rsid w:val="001E64EE"/>
    <w:rsid w:val="001E7B6F"/>
    <w:rsid w:val="002034CA"/>
    <w:rsid w:val="00203BD2"/>
    <w:rsid w:val="002117E2"/>
    <w:rsid w:val="002128C7"/>
    <w:rsid w:val="00221657"/>
    <w:rsid w:val="002234CC"/>
    <w:rsid w:val="00223AD2"/>
    <w:rsid w:val="00232F97"/>
    <w:rsid w:val="00233596"/>
    <w:rsid w:val="002400C5"/>
    <w:rsid w:val="00240BC0"/>
    <w:rsid w:val="0024374B"/>
    <w:rsid w:val="002442A3"/>
    <w:rsid w:val="00246C92"/>
    <w:rsid w:val="00253940"/>
    <w:rsid w:val="002609C4"/>
    <w:rsid w:val="0026544A"/>
    <w:rsid w:val="00270619"/>
    <w:rsid w:val="00274CD1"/>
    <w:rsid w:val="00277428"/>
    <w:rsid w:val="00280618"/>
    <w:rsid w:val="0028183B"/>
    <w:rsid w:val="00282588"/>
    <w:rsid w:val="00282F61"/>
    <w:rsid w:val="002830C6"/>
    <w:rsid w:val="00296737"/>
    <w:rsid w:val="002A1C40"/>
    <w:rsid w:val="002A3E26"/>
    <w:rsid w:val="002A7637"/>
    <w:rsid w:val="002B4B86"/>
    <w:rsid w:val="002B54F4"/>
    <w:rsid w:val="002E10C3"/>
    <w:rsid w:val="002F5863"/>
    <w:rsid w:val="002F65E4"/>
    <w:rsid w:val="00312406"/>
    <w:rsid w:val="00315459"/>
    <w:rsid w:val="00331A02"/>
    <w:rsid w:val="00332B4C"/>
    <w:rsid w:val="00333424"/>
    <w:rsid w:val="003343CF"/>
    <w:rsid w:val="00337D5E"/>
    <w:rsid w:val="003412B3"/>
    <w:rsid w:val="00347CB5"/>
    <w:rsid w:val="00352DC2"/>
    <w:rsid w:val="003574B9"/>
    <w:rsid w:val="0036237D"/>
    <w:rsid w:val="00372582"/>
    <w:rsid w:val="00374216"/>
    <w:rsid w:val="0037546C"/>
    <w:rsid w:val="00380646"/>
    <w:rsid w:val="0038343F"/>
    <w:rsid w:val="0038664C"/>
    <w:rsid w:val="00390734"/>
    <w:rsid w:val="003970ED"/>
    <w:rsid w:val="003A49EB"/>
    <w:rsid w:val="003A7766"/>
    <w:rsid w:val="003B29D0"/>
    <w:rsid w:val="003B656C"/>
    <w:rsid w:val="003C75DC"/>
    <w:rsid w:val="003D02F6"/>
    <w:rsid w:val="003D262D"/>
    <w:rsid w:val="003D288F"/>
    <w:rsid w:val="003D357D"/>
    <w:rsid w:val="003E174A"/>
    <w:rsid w:val="003E4DAF"/>
    <w:rsid w:val="003E5F61"/>
    <w:rsid w:val="003E7FE0"/>
    <w:rsid w:val="003F39EC"/>
    <w:rsid w:val="004042EC"/>
    <w:rsid w:val="00404EBB"/>
    <w:rsid w:val="004117FF"/>
    <w:rsid w:val="00415AA0"/>
    <w:rsid w:val="00416A43"/>
    <w:rsid w:val="00416F06"/>
    <w:rsid w:val="00420B1E"/>
    <w:rsid w:val="00431B29"/>
    <w:rsid w:val="00432206"/>
    <w:rsid w:val="00453327"/>
    <w:rsid w:val="00454786"/>
    <w:rsid w:val="00457780"/>
    <w:rsid w:val="00461A9F"/>
    <w:rsid w:val="00462B7E"/>
    <w:rsid w:val="00465487"/>
    <w:rsid w:val="004709C6"/>
    <w:rsid w:val="0047161C"/>
    <w:rsid w:val="004772A3"/>
    <w:rsid w:val="00480072"/>
    <w:rsid w:val="0048199B"/>
    <w:rsid w:val="00490B79"/>
    <w:rsid w:val="00492183"/>
    <w:rsid w:val="00497EEF"/>
    <w:rsid w:val="004A1AA0"/>
    <w:rsid w:val="004B7457"/>
    <w:rsid w:val="004C1262"/>
    <w:rsid w:val="004C1AC4"/>
    <w:rsid w:val="004C1B3F"/>
    <w:rsid w:val="004C38EE"/>
    <w:rsid w:val="004C447F"/>
    <w:rsid w:val="004C6146"/>
    <w:rsid w:val="004D2A8C"/>
    <w:rsid w:val="004D4A8D"/>
    <w:rsid w:val="004D6E42"/>
    <w:rsid w:val="004F1354"/>
    <w:rsid w:val="004F3BDA"/>
    <w:rsid w:val="004F4CA2"/>
    <w:rsid w:val="004F65F3"/>
    <w:rsid w:val="005106B5"/>
    <w:rsid w:val="00513352"/>
    <w:rsid w:val="00521EA6"/>
    <w:rsid w:val="00536423"/>
    <w:rsid w:val="00542DEB"/>
    <w:rsid w:val="0054644D"/>
    <w:rsid w:val="00552BE8"/>
    <w:rsid w:val="0055665F"/>
    <w:rsid w:val="00563B0A"/>
    <w:rsid w:val="00565412"/>
    <w:rsid w:val="00565500"/>
    <w:rsid w:val="00566B01"/>
    <w:rsid w:val="005777D4"/>
    <w:rsid w:val="00577876"/>
    <w:rsid w:val="00585B86"/>
    <w:rsid w:val="00586F2B"/>
    <w:rsid w:val="00592D39"/>
    <w:rsid w:val="00593E3E"/>
    <w:rsid w:val="00596B26"/>
    <w:rsid w:val="005A1FE1"/>
    <w:rsid w:val="005A2365"/>
    <w:rsid w:val="005A5B62"/>
    <w:rsid w:val="005B0341"/>
    <w:rsid w:val="005B379F"/>
    <w:rsid w:val="005B3B80"/>
    <w:rsid w:val="005B7265"/>
    <w:rsid w:val="005C1A33"/>
    <w:rsid w:val="005C71EC"/>
    <w:rsid w:val="005D1D77"/>
    <w:rsid w:val="005F46AD"/>
    <w:rsid w:val="005F5AF4"/>
    <w:rsid w:val="005F602E"/>
    <w:rsid w:val="00600161"/>
    <w:rsid w:val="00607C0F"/>
    <w:rsid w:val="00612FF3"/>
    <w:rsid w:val="006159AF"/>
    <w:rsid w:val="00616AAC"/>
    <w:rsid w:val="00622747"/>
    <w:rsid w:val="0062290F"/>
    <w:rsid w:val="0063178A"/>
    <w:rsid w:val="00634D7A"/>
    <w:rsid w:val="006358F5"/>
    <w:rsid w:val="0064341B"/>
    <w:rsid w:val="00646201"/>
    <w:rsid w:val="006613BE"/>
    <w:rsid w:val="0066408B"/>
    <w:rsid w:val="006649DE"/>
    <w:rsid w:val="00667BC9"/>
    <w:rsid w:val="00672245"/>
    <w:rsid w:val="00673692"/>
    <w:rsid w:val="00677F85"/>
    <w:rsid w:val="00684685"/>
    <w:rsid w:val="00684DF9"/>
    <w:rsid w:val="00696156"/>
    <w:rsid w:val="00696CFC"/>
    <w:rsid w:val="006A7821"/>
    <w:rsid w:val="006B7D79"/>
    <w:rsid w:val="006C0CD1"/>
    <w:rsid w:val="006C41D5"/>
    <w:rsid w:val="006D34ED"/>
    <w:rsid w:val="006D3C49"/>
    <w:rsid w:val="006D7AD4"/>
    <w:rsid w:val="006E3044"/>
    <w:rsid w:val="006E6A95"/>
    <w:rsid w:val="006F1762"/>
    <w:rsid w:val="006F4E4D"/>
    <w:rsid w:val="00706ACC"/>
    <w:rsid w:val="00712A34"/>
    <w:rsid w:val="00713663"/>
    <w:rsid w:val="00724CE2"/>
    <w:rsid w:val="007306D2"/>
    <w:rsid w:val="00735820"/>
    <w:rsid w:val="00737035"/>
    <w:rsid w:val="00743307"/>
    <w:rsid w:val="00744903"/>
    <w:rsid w:val="00747708"/>
    <w:rsid w:val="0075060E"/>
    <w:rsid w:val="00763229"/>
    <w:rsid w:val="007642FA"/>
    <w:rsid w:val="00765A09"/>
    <w:rsid w:val="00767C35"/>
    <w:rsid w:val="00773890"/>
    <w:rsid w:val="00777C2E"/>
    <w:rsid w:val="00786618"/>
    <w:rsid w:val="007942FB"/>
    <w:rsid w:val="0079653C"/>
    <w:rsid w:val="007A0A2F"/>
    <w:rsid w:val="007A153C"/>
    <w:rsid w:val="007A3B59"/>
    <w:rsid w:val="007C57CE"/>
    <w:rsid w:val="007C7000"/>
    <w:rsid w:val="007D1B2F"/>
    <w:rsid w:val="007D3691"/>
    <w:rsid w:val="007E41D7"/>
    <w:rsid w:val="007E6F80"/>
    <w:rsid w:val="007F06DC"/>
    <w:rsid w:val="007F5C6D"/>
    <w:rsid w:val="00800C5D"/>
    <w:rsid w:val="008049B3"/>
    <w:rsid w:val="008124F0"/>
    <w:rsid w:val="00814FC6"/>
    <w:rsid w:val="0081657B"/>
    <w:rsid w:val="00825032"/>
    <w:rsid w:val="0083180D"/>
    <w:rsid w:val="0083674D"/>
    <w:rsid w:val="0084161E"/>
    <w:rsid w:val="008437EF"/>
    <w:rsid w:val="00844AA7"/>
    <w:rsid w:val="0084653D"/>
    <w:rsid w:val="00857FF9"/>
    <w:rsid w:val="008623DF"/>
    <w:rsid w:val="0087101A"/>
    <w:rsid w:val="008769AD"/>
    <w:rsid w:val="008933FE"/>
    <w:rsid w:val="008A17E7"/>
    <w:rsid w:val="008A203F"/>
    <w:rsid w:val="008A3F04"/>
    <w:rsid w:val="008A570B"/>
    <w:rsid w:val="008B0358"/>
    <w:rsid w:val="008B12BE"/>
    <w:rsid w:val="008B2343"/>
    <w:rsid w:val="008B333D"/>
    <w:rsid w:val="008C19BF"/>
    <w:rsid w:val="008C5B07"/>
    <w:rsid w:val="008D3048"/>
    <w:rsid w:val="008D6AF4"/>
    <w:rsid w:val="008D7441"/>
    <w:rsid w:val="008E6406"/>
    <w:rsid w:val="008F0B99"/>
    <w:rsid w:val="008F59E3"/>
    <w:rsid w:val="00900C89"/>
    <w:rsid w:val="00901327"/>
    <w:rsid w:val="00904233"/>
    <w:rsid w:val="009069BE"/>
    <w:rsid w:val="00907B22"/>
    <w:rsid w:val="00921E54"/>
    <w:rsid w:val="00924657"/>
    <w:rsid w:val="009263F3"/>
    <w:rsid w:val="00930841"/>
    <w:rsid w:val="009314C6"/>
    <w:rsid w:val="009326AD"/>
    <w:rsid w:val="00936996"/>
    <w:rsid w:val="00941D91"/>
    <w:rsid w:val="0094583C"/>
    <w:rsid w:val="009571FB"/>
    <w:rsid w:val="00963E46"/>
    <w:rsid w:val="00970A41"/>
    <w:rsid w:val="00970B4F"/>
    <w:rsid w:val="00972DD7"/>
    <w:rsid w:val="00973EDA"/>
    <w:rsid w:val="009775D6"/>
    <w:rsid w:val="00980AF9"/>
    <w:rsid w:val="00980C0B"/>
    <w:rsid w:val="00991D48"/>
    <w:rsid w:val="00992F64"/>
    <w:rsid w:val="009A4BB5"/>
    <w:rsid w:val="009C38C6"/>
    <w:rsid w:val="009C5A37"/>
    <w:rsid w:val="009C6E8A"/>
    <w:rsid w:val="009D25BB"/>
    <w:rsid w:val="009F00FA"/>
    <w:rsid w:val="009F0F74"/>
    <w:rsid w:val="009F1833"/>
    <w:rsid w:val="00A166B0"/>
    <w:rsid w:val="00A27BC0"/>
    <w:rsid w:val="00A33866"/>
    <w:rsid w:val="00A34410"/>
    <w:rsid w:val="00A400CF"/>
    <w:rsid w:val="00A405DB"/>
    <w:rsid w:val="00A41598"/>
    <w:rsid w:val="00A446F2"/>
    <w:rsid w:val="00A448B7"/>
    <w:rsid w:val="00A44C5C"/>
    <w:rsid w:val="00A4649E"/>
    <w:rsid w:val="00A467F1"/>
    <w:rsid w:val="00A52F4E"/>
    <w:rsid w:val="00A55402"/>
    <w:rsid w:val="00A55F28"/>
    <w:rsid w:val="00A90A42"/>
    <w:rsid w:val="00A922DA"/>
    <w:rsid w:val="00A933FF"/>
    <w:rsid w:val="00A9452C"/>
    <w:rsid w:val="00AA5B59"/>
    <w:rsid w:val="00AA6C23"/>
    <w:rsid w:val="00AA7DC8"/>
    <w:rsid w:val="00AB0CF1"/>
    <w:rsid w:val="00AB745D"/>
    <w:rsid w:val="00AC15B4"/>
    <w:rsid w:val="00AC60FA"/>
    <w:rsid w:val="00AC691C"/>
    <w:rsid w:val="00AD2AB9"/>
    <w:rsid w:val="00AD7572"/>
    <w:rsid w:val="00AE1009"/>
    <w:rsid w:val="00AE1606"/>
    <w:rsid w:val="00AE1ABA"/>
    <w:rsid w:val="00AE6C7B"/>
    <w:rsid w:val="00AE6DC8"/>
    <w:rsid w:val="00AF02ED"/>
    <w:rsid w:val="00AF034E"/>
    <w:rsid w:val="00AF05A4"/>
    <w:rsid w:val="00AF1107"/>
    <w:rsid w:val="00AF32FF"/>
    <w:rsid w:val="00AF7668"/>
    <w:rsid w:val="00B06B57"/>
    <w:rsid w:val="00B07431"/>
    <w:rsid w:val="00B17378"/>
    <w:rsid w:val="00B22A13"/>
    <w:rsid w:val="00B3029E"/>
    <w:rsid w:val="00B307AF"/>
    <w:rsid w:val="00B32F37"/>
    <w:rsid w:val="00B34BBE"/>
    <w:rsid w:val="00B37B8B"/>
    <w:rsid w:val="00B42C59"/>
    <w:rsid w:val="00B42D28"/>
    <w:rsid w:val="00B4454A"/>
    <w:rsid w:val="00B45C43"/>
    <w:rsid w:val="00B54068"/>
    <w:rsid w:val="00B547B7"/>
    <w:rsid w:val="00B63669"/>
    <w:rsid w:val="00B647B8"/>
    <w:rsid w:val="00B765BA"/>
    <w:rsid w:val="00B84C3F"/>
    <w:rsid w:val="00B85270"/>
    <w:rsid w:val="00B86F08"/>
    <w:rsid w:val="00B9165B"/>
    <w:rsid w:val="00B978C6"/>
    <w:rsid w:val="00BA133B"/>
    <w:rsid w:val="00BA55B2"/>
    <w:rsid w:val="00BA6E7F"/>
    <w:rsid w:val="00BB5C69"/>
    <w:rsid w:val="00BB6DEB"/>
    <w:rsid w:val="00BC2095"/>
    <w:rsid w:val="00BC27D6"/>
    <w:rsid w:val="00BC2CE0"/>
    <w:rsid w:val="00BC4025"/>
    <w:rsid w:val="00BD3B5A"/>
    <w:rsid w:val="00BE1907"/>
    <w:rsid w:val="00BE3BDE"/>
    <w:rsid w:val="00BE5135"/>
    <w:rsid w:val="00BE5683"/>
    <w:rsid w:val="00BF0CF2"/>
    <w:rsid w:val="00BF1205"/>
    <w:rsid w:val="00C07011"/>
    <w:rsid w:val="00C1364B"/>
    <w:rsid w:val="00C16DB5"/>
    <w:rsid w:val="00C22EE7"/>
    <w:rsid w:val="00C33557"/>
    <w:rsid w:val="00C33766"/>
    <w:rsid w:val="00C36A9E"/>
    <w:rsid w:val="00C45869"/>
    <w:rsid w:val="00C45FB3"/>
    <w:rsid w:val="00C5327D"/>
    <w:rsid w:val="00C638ED"/>
    <w:rsid w:val="00C6739C"/>
    <w:rsid w:val="00C701B8"/>
    <w:rsid w:val="00C7376E"/>
    <w:rsid w:val="00C74655"/>
    <w:rsid w:val="00C8210F"/>
    <w:rsid w:val="00C8440F"/>
    <w:rsid w:val="00C8546F"/>
    <w:rsid w:val="00C92253"/>
    <w:rsid w:val="00C92C38"/>
    <w:rsid w:val="00C94227"/>
    <w:rsid w:val="00C95FF9"/>
    <w:rsid w:val="00CA58BD"/>
    <w:rsid w:val="00CB0997"/>
    <w:rsid w:val="00CB3F89"/>
    <w:rsid w:val="00CB4E96"/>
    <w:rsid w:val="00CC4E2A"/>
    <w:rsid w:val="00CC5A8D"/>
    <w:rsid w:val="00CC6381"/>
    <w:rsid w:val="00CD27D0"/>
    <w:rsid w:val="00CD49D1"/>
    <w:rsid w:val="00CD789D"/>
    <w:rsid w:val="00CE5D6F"/>
    <w:rsid w:val="00CE667F"/>
    <w:rsid w:val="00CE7A1D"/>
    <w:rsid w:val="00CE7A60"/>
    <w:rsid w:val="00CF4AEB"/>
    <w:rsid w:val="00D003F6"/>
    <w:rsid w:val="00D036CC"/>
    <w:rsid w:val="00D03BF8"/>
    <w:rsid w:val="00D07002"/>
    <w:rsid w:val="00D07289"/>
    <w:rsid w:val="00D126E5"/>
    <w:rsid w:val="00D14D7F"/>
    <w:rsid w:val="00D25F5D"/>
    <w:rsid w:val="00D30716"/>
    <w:rsid w:val="00D3264A"/>
    <w:rsid w:val="00D335B8"/>
    <w:rsid w:val="00D36092"/>
    <w:rsid w:val="00D41975"/>
    <w:rsid w:val="00D4199C"/>
    <w:rsid w:val="00D4291F"/>
    <w:rsid w:val="00D42B36"/>
    <w:rsid w:val="00D43172"/>
    <w:rsid w:val="00D4500E"/>
    <w:rsid w:val="00D5753D"/>
    <w:rsid w:val="00D57A31"/>
    <w:rsid w:val="00D71630"/>
    <w:rsid w:val="00D872A5"/>
    <w:rsid w:val="00D90CA6"/>
    <w:rsid w:val="00D93D77"/>
    <w:rsid w:val="00D95206"/>
    <w:rsid w:val="00DA1F9D"/>
    <w:rsid w:val="00DA64F5"/>
    <w:rsid w:val="00DB0959"/>
    <w:rsid w:val="00DB1E23"/>
    <w:rsid w:val="00DB5CAD"/>
    <w:rsid w:val="00DD3636"/>
    <w:rsid w:val="00DD3C64"/>
    <w:rsid w:val="00DD4F35"/>
    <w:rsid w:val="00DD5905"/>
    <w:rsid w:val="00DE27D1"/>
    <w:rsid w:val="00DF171A"/>
    <w:rsid w:val="00E11B71"/>
    <w:rsid w:val="00E11D81"/>
    <w:rsid w:val="00E12326"/>
    <w:rsid w:val="00E13BF4"/>
    <w:rsid w:val="00E15564"/>
    <w:rsid w:val="00E16CAF"/>
    <w:rsid w:val="00E204DA"/>
    <w:rsid w:val="00E273D3"/>
    <w:rsid w:val="00E27ACE"/>
    <w:rsid w:val="00E41F5E"/>
    <w:rsid w:val="00E52F64"/>
    <w:rsid w:val="00E5316F"/>
    <w:rsid w:val="00E53DD4"/>
    <w:rsid w:val="00E543C8"/>
    <w:rsid w:val="00E568F4"/>
    <w:rsid w:val="00E60426"/>
    <w:rsid w:val="00E60592"/>
    <w:rsid w:val="00E62CCB"/>
    <w:rsid w:val="00E63993"/>
    <w:rsid w:val="00E74890"/>
    <w:rsid w:val="00E806AC"/>
    <w:rsid w:val="00E80782"/>
    <w:rsid w:val="00E80B68"/>
    <w:rsid w:val="00E9111A"/>
    <w:rsid w:val="00E920D6"/>
    <w:rsid w:val="00E92EDB"/>
    <w:rsid w:val="00EA0672"/>
    <w:rsid w:val="00EA0805"/>
    <w:rsid w:val="00EA165E"/>
    <w:rsid w:val="00EA7857"/>
    <w:rsid w:val="00EB0A74"/>
    <w:rsid w:val="00EB6DA9"/>
    <w:rsid w:val="00EC604A"/>
    <w:rsid w:val="00ED0ABE"/>
    <w:rsid w:val="00ED649F"/>
    <w:rsid w:val="00EE0778"/>
    <w:rsid w:val="00EE295C"/>
    <w:rsid w:val="00EE3FC0"/>
    <w:rsid w:val="00EF3DB4"/>
    <w:rsid w:val="00EF4416"/>
    <w:rsid w:val="00EF57AE"/>
    <w:rsid w:val="00EF6910"/>
    <w:rsid w:val="00EF73ED"/>
    <w:rsid w:val="00F0113D"/>
    <w:rsid w:val="00F14594"/>
    <w:rsid w:val="00F2477F"/>
    <w:rsid w:val="00F25541"/>
    <w:rsid w:val="00F258C0"/>
    <w:rsid w:val="00F3084B"/>
    <w:rsid w:val="00F30B69"/>
    <w:rsid w:val="00F3127A"/>
    <w:rsid w:val="00F43F28"/>
    <w:rsid w:val="00F46EFE"/>
    <w:rsid w:val="00F56C7B"/>
    <w:rsid w:val="00F56F3B"/>
    <w:rsid w:val="00F60EC6"/>
    <w:rsid w:val="00F64E96"/>
    <w:rsid w:val="00F66D6C"/>
    <w:rsid w:val="00F67468"/>
    <w:rsid w:val="00F70A9F"/>
    <w:rsid w:val="00F7147A"/>
    <w:rsid w:val="00F72BB5"/>
    <w:rsid w:val="00F72F9E"/>
    <w:rsid w:val="00F74B3D"/>
    <w:rsid w:val="00F77446"/>
    <w:rsid w:val="00F83CCE"/>
    <w:rsid w:val="00F9131C"/>
    <w:rsid w:val="00F94F02"/>
    <w:rsid w:val="00FA39FC"/>
    <w:rsid w:val="00FA48E3"/>
    <w:rsid w:val="00FB0F3B"/>
    <w:rsid w:val="00FB1318"/>
    <w:rsid w:val="00FB631F"/>
    <w:rsid w:val="00FC1975"/>
    <w:rsid w:val="00FC2004"/>
    <w:rsid w:val="00FC4BBC"/>
    <w:rsid w:val="00FC6283"/>
    <w:rsid w:val="00FD1335"/>
    <w:rsid w:val="00FD5912"/>
    <w:rsid w:val="00FD7752"/>
    <w:rsid w:val="00FF3AB1"/>
    <w:rsid w:val="01645289"/>
    <w:rsid w:val="01E01C81"/>
    <w:rsid w:val="037E1E55"/>
    <w:rsid w:val="042B4913"/>
    <w:rsid w:val="044943A2"/>
    <w:rsid w:val="04F87FBB"/>
    <w:rsid w:val="066E3F48"/>
    <w:rsid w:val="06CA388C"/>
    <w:rsid w:val="06FE3411"/>
    <w:rsid w:val="07F22E6A"/>
    <w:rsid w:val="08092787"/>
    <w:rsid w:val="082D4ECE"/>
    <w:rsid w:val="09AF5C00"/>
    <w:rsid w:val="0AB368F9"/>
    <w:rsid w:val="0AD06882"/>
    <w:rsid w:val="0AE34FC4"/>
    <w:rsid w:val="0B762E9F"/>
    <w:rsid w:val="0BD97A99"/>
    <w:rsid w:val="0C162D5D"/>
    <w:rsid w:val="0C7224BF"/>
    <w:rsid w:val="0C863791"/>
    <w:rsid w:val="0CAB0A20"/>
    <w:rsid w:val="0CE870CC"/>
    <w:rsid w:val="0F072768"/>
    <w:rsid w:val="0F7A6727"/>
    <w:rsid w:val="0FBE13AC"/>
    <w:rsid w:val="10A70D3C"/>
    <w:rsid w:val="10C50FB1"/>
    <w:rsid w:val="12EE2608"/>
    <w:rsid w:val="13745B86"/>
    <w:rsid w:val="13E34033"/>
    <w:rsid w:val="14833E2D"/>
    <w:rsid w:val="152B3DCC"/>
    <w:rsid w:val="16A6096F"/>
    <w:rsid w:val="16DC3F00"/>
    <w:rsid w:val="17B944A0"/>
    <w:rsid w:val="18733C98"/>
    <w:rsid w:val="18AE0980"/>
    <w:rsid w:val="18D92D38"/>
    <w:rsid w:val="195F2472"/>
    <w:rsid w:val="19960C23"/>
    <w:rsid w:val="19CD2948"/>
    <w:rsid w:val="1AD30191"/>
    <w:rsid w:val="1AF9586C"/>
    <w:rsid w:val="1B1B465A"/>
    <w:rsid w:val="1B6A53B2"/>
    <w:rsid w:val="1BB6455D"/>
    <w:rsid w:val="1C2C56FE"/>
    <w:rsid w:val="1C5E176D"/>
    <w:rsid w:val="1C8D5556"/>
    <w:rsid w:val="1C8E340D"/>
    <w:rsid w:val="1CDA147A"/>
    <w:rsid w:val="1CFF1382"/>
    <w:rsid w:val="1D107DE0"/>
    <w:rsid w:val="1D970189"/>
    <w:rsid w:val="1D9C48FA"/>
    <w:rsid w:val="1DC46438"/>
    <w:rsid w:val="1DFF2E5F"/>
    <w:rsid w:val="1E57043A"/>
    <w:rsid w:val="1E85113D"/>
    <w:rsid w:val="1EE17064"/>
    <w:rsid w:val="1F060575"/>
    <w:rsid w:val="1F5441FF"/>
    <w:rsid w:val="1F5E4BD8"/>
    <w:rsid w:val="1F8061E9"/>
    <w:rsid w:val="1FA94BE9"/>
    <w:rsid w:val="202F4AD8"/>
    <w:rsid w:val="20355C9C"/>
    <w:rsid w:val="20754052"/>
    <w:rsid w:val="20EC2F87"/>
    <w:rsid w:val="213A522E"/>
    <w:rsid w:val="217B32BD"/>
    <w:rsid w:val="21BC02C5"/>
    <w:rsid w:val="21D75627"/>
    <w:rsid w:val="21F66FFD"/>
    <w:rsid w:val="228F1F4D"/>
    <w:rsid w:val="22973CEF"/>
    <w:rsid w:val="22AF113F"/>
    <w:rsid w:val="235B1262"/>
    <w:rsid w:val="24DC0D54"/>
    <w:rsid w:val="2577267B"/>
    <w:rsid w:val="25FC3F52"/>
    <w:rsid w:val="26021370"/>
    <w:rsid w:val="269A75F8"/>
    <w:rsid w:val="26CB7CDA"/>
    <w:rsid w:val="27235DC6"/>
    <w:rsid w:val="276D6E7C"/>
    <w:rsid w:val="27C63C03"/>
    <w:rsid w:val="28440FC3"/>
    <w:rsid w:val="28B14250"/>
    <w:rsid w:val="28FF0884"/>
    <w:rsid w:val="29532AEC"/>
    <w:rsid w:val="29974A5F"/>
    <w:rsid w:val="2A434140"/>
    <w:rsid w:val="2C454DE4"/>
    <w:rsid w:val="2CD7014A"/>
    <w:rsid w:val="2CE571EE"/>
    <w:rsid w:val="2D4B261E"/>
    <w:rsid w:val="2D5540A7"/>
    <w:rsid w:val="2D6D66E3"/>
    <w:rsid w:val="2D747FF0"/>
    <w:rsid w:val="2E7735CB"/>
    <w:rsid w:val="2FA53E99"/>
    <w:rsid w:val="2FC663D2"/>
    <w:rsid w:val="2FFBF84E"/>
    <w:rsid w:val="30D21F09"/>
    <w:rsid w:val="324921F0"/>
    <w:rsid w:val="324D1D1A"/>
    <w:rsid w:val="328D596A"/>
    <w:rsid w:val="32DC0BB8"/>
    <w:rsid w:val="335F6716"/>
    <w:rsid w:val="33A76AC7"/>
    <w:rsid w:val="33C76029"/>
    <w:rsid w:val="342452A5"/>
    <w:rsid w:val="3450285B"/>
    <w:rsid w:val="34CA681A"/>
    <w:rsid w:val="35112A4A"/>
    <w:rsid w:val="353B2FC8"/>
    <w:rsid w:val="35780C75"/>
    <w:rsid w:val="359E1028"/>
    <w:rsid w:val="360C4752"/>
    <w:rsid w:val="36F8713A"/>
    <w:rsid w:val="372B0CC6"/>
    <w:rsid w:val="379D6BBF"/>
    <w:rsid w:val="38331B04"/>
    <w:rsid w:val="390C320C"/>
    <w:rsid w:val="3AB7296D"/>
    <w:rsid w:val="3AFA6952"/>
    <w:rsid w:val="3B184EA5"/>
    <w:rsid w:val="3B860714"/>
    <w:rsid w:val="3CA641BD"/>
    <w:rsid w:val="3CBD03EE"/>
    <w:rsid w:val="3D4159E0"/>
    <w:rsid w:val="3D9C5986"/>
    <w:rsid w:val="3DE66B60"/>
    <w:rsid w:val="3DE974A4"/>
    <w:rsid w:val="3E14398F"/>
    <w:rsid w:val="3EC72576"/>
    <w:rsid w:val="40B6360A"/>
    <w:rsid w:val="41EA21A8"/>
    <w:rsid w:val="42033D60"/>
    <w:rsid w:val="42930410"/>
    <w:rsid w:val="446C050B"/>
    <w:rsid w:val="44DB6731"/>
    <w:rsid w:val="44E363A7"/>
    <w:rsid w:val="45272EB2"/>
    <w:rsid w:val="456D36A8"/>
    <w:rsid w:val="463F3F7E"/>
    <w:rsid w:val="46C31DD0"/>
    <w:rsid w:val="46F25471"/>
    <w:rsid w:val="47310983"/>
    <w:rsid w:val="481A5EFC"/>
    <w:rsid w:val="482F07A0"/>
    <w:rsid w:val="48681519"/>
    <w:rsid w:val="48A13E74"/>
    <w:rsid w:val="49D01B3D"/>
    <w:rsid w:val="4B2013BD"/>
    <w:rsid w:val="4D23548D"/>
    <w:rsid w:val="4DBE797D"/>
    <w:rsid w:val="4E576EDB"/>
    <w:rsid w:val="4F4F7A6D"/>
    <w:rsid w:val="4FE272BB"/>
    <w:rsid w:val="51377982"/>
    <w:rsid w:val="514D2081"/>
    <w:rsid w:val="51734548"/>
    <w:rsid w:val="519A2ADE"/>
    <w:rsid w:val="52BD3C98"/>
    <w:rsid w:val="534D3BC9"/>
    <w:rsid w:val="54704DB7"/>
    <w:rsid w:val="547440B4"/>
    <w:rsid w:val="54843D8E"/>
    <w:rsid w:val="554D713F"/>
    <w:rsid w:val="55790152"/>
    <w:rsid w:val="56A71651"/>
    <w:rsid w:val="574F72CC"/>
    <w:rsid w:val="57633436"/>
    <w:rsid w:val="57AC0992"/>
    <w:rsid w:val="57E45ECE"/>
    <w:rsid w:val="580B633E"/>
    <w:rsid w:val="580F75E0"/>
    <w:rsid w:val="593F26E0"/>
    <w:rsid w:val="59456BD7"/>
    <w:rsid w:val="59EC772A"/>
    <w:rsid w:val="5A2A660F"/>
    <w:rsid w:val="5C061015"/>
    <w:rsid w:val="5C1B41C2"/>
    <w:rsid w:val="5C5304AC"/>
    <w:rsid w:val="5CDC70F7"/>
    <w:rsid w:val="5D44125F"/>
    <w:rsid w:val="5DF33532"/>
    <w:rsid w:val="5DFF048F"/>
    <w:rsid w:val="5E514FE8"/>
    <w:rsid w:val="5ED37C34"/>
    <w:rsid w:val="5F4D37ED"/>
    <w:rsid w:val="5FDC7514"/>
    <w:rsid w:val="5FE213DE"/>
    <w:rsid w:val="60F7571D"/>
    <w:rsid w:val="62787FF8"/>
    <w:rsid w:val="63A2315A"/>
    <w:rsid w:val="63A51C0A"/>
    <w:rsid w:val="63D7615F"/>
    <w:rsid w:val="63EF7319"/>
    <w:rsid w:val="646E4229"/>
    <w:rsid w:val="65AB3C22"/>
    <w:rsid w:val="65C106F4"/>
    <w:rsid w:val="65E7130F"/>
    <w:rsid w:val="660A7108"/>
    <w:rsid w:val="66575DBD"/>
    <w:rsid w:val="668C5F5C"/>
    <w:rsid w:val="6730568A"/>
    <w:rsid w:val="677E35EA"/>
    <w:rsid w:val="68232635"/>
    <w:rsid w:val="68252651"/>
    <w:rsid w:val="686033F4"/>
    <w:rsid w:val="686F1C47"/>
    <w:rsid w:val="69CE2B9E"/>
    <w:rsid w:val="69D6284B"/>
    <w:rsid w:val="6A7648D4"/>
    <w:rsid w:val="6B1F3091"/>
    <w:rsid w:val="6B46076D"/>
    <w:rsid w:val="6B6616C4"/>
    <w:rsid w:val="6BC374EA"/>
    <w:rsid w:val="6C2754CC"/>
    <w:rsid w:val="6C8E57FD"/>
    <w:rsid w:val="6CEB30C8"/>
    <w:rsid w:val="6D6956FA"/>
    <w:rsid w:val="6E347C87"/>
    <w:rsid w:val="6E9E1B80"/>
    <w:rsid w:val="703D7938"/>
    <w:rsid w:val="707F5860"/>
    <w:rsid w:val="70AB4CDA"/>
    <w:rsid w:val="71025B11"/>
    <w:rsid w:val="71A87567"/>
    <w:rsid w:val="72007346"/>
    <w:rsid w:val="724B5202"/>
    <w:rsid w:val="72A8113F"/>
    <w:rsid w:val="73E350A8"/>
    <w:rsid w:val="74B554E2"/>
    <w:rsid w:val="74CF215B"/>
    <w:rsid w:val="74F465C3"/>
    <w:rsid w:val="75446204"/>
    <w:rsid w:val="75EE1CEC"/>
    <w:rsid w:val="760443E1"/>
    <w:rsid w:val="76DA13CC"/>
    <w:rsid w:val="776C2171"/>
    <w:rsid w:val="77CC6F75"/>
    <w:rsid w:val="78587A18"/>
    <w:rsid w:val="78655CA5"/>
    <w:rsid w:val="789B5BE4"/>
    <w:rsid w:val="79214A82"/>
    <w:rsid w:val="793012E1"/>
    <w:rsid w:val="7A384CE6"/>
    <w:rsid w:val="7A473F21"/>
    <w:rsid w:val="7A805430"/>
    <w:rsid w:val="7ACB2A65"/>
    <w:rsid w:val="7B403394"/>
    <w:rsid w:val="7B5FAE3D"/>
    <w:rsid w:val="7BAC7C37"/>
    <w:rsid w:val="7C266DB0"/>
    <w:rsid w:val="7C520BBC"/>
    <w:rsid w:val="7CCF347A"/>
    <w:rsid w:val="7D2A3FB1"/>
    <w:rsid w:val="7DCD4912"/>
    <w:rsid w:val="7E3B2194"/>
    <w:rsid w:val="7ECB4CC5"/>
    <w:rsid w:val="7EE80DFF"/>
    <w:rsid w:val="7F465328"/>
    <w:rsid w:val="7F474613"/>
    <w:rsid w:val="7F542656"/>
    <w:rsid w:val="CDF582DE"/>
    <w:rsid w:val="DEFB326E"/>
    <w:rsid w:val="EA7D4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qFormat/>
    <w:uiPriority w:val="0"/>
    <w:pPr>
      <w:jc w:val="left"/>
    </w:pPr>
  </w:style>
  <w:style w:type="paragraph" w:styleId="3">
    <w:name w:val="Body Text"/>
    <w:basedOn w:val="1"/>
    <w:unhideWhenUsed/>
    <w:qFormat/>
    <w:uiPriority w:val="99"/>
    <w:pPr>
      <w:spacing w:after="120"/>
    </w:pPr>
  </w:style>
  <w:style w:type="paragraph" w:styleId="4">
    <w:name w:val="Balloon Text"/>
    <w:basedOn w:val="1"/>
    <w:link w:val="26"/>
    <w:semiHidden/>
    <w:unhideWhenUsed/>
    <w:qFormat/>
    <w:uiPriority w:val="0"/>
    <w:rPr>
      <w:rFonts w:ascii="宋体"/>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9"/>
    <w:qFormat/>
    <w:uiPriority w:val="99"/>
    <w:pPr>
      <w:tabs>
        <w:tab w:val="center" w:pos="4680"/>
        <w:tab w:val="right" w:pos="9360"/>
      </w:tabs>
    </w:pPr>
  </w:style>
  <w:style w:type="paragraph" w:styleId="7">
    <w:name w:val="footnote text"/>
    <w:basedOn w:val="1"/>
    <w:link w:val="25"/>
    <w:unhideWhenUsed/>
    <w:qFormat/>
    <w:uiPriority w:val="99"/>
    <w:pPr>
      <w:widowControl/>
    </w:pPr>
    <w:rPr>
      <w:rFonts w:cs="宋体"/>
      <w:kern w:val="0"/>
      <w:sz w:val="20"/>
      <w:szCs w:val="20"/>
      <w:lang w:val="en-GB"/>
    </w:rPr>
  </w:style>
  <w:style w:type="paragraph" w:styleId="8">
    <w:name w:val="annotation subject"/>
    <w:basedOn w:val="2"/>
    <w:next w:val="2"/>
    <w:link w:val="22"/>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unhideWhenUsed/>
    <w:qFormat/>
    <w:uiPriority w:val="99"/>
    <w:rPr>
      <w:color w:val="800080"/>
      <w:u w:val="single"/>
    </w:rPr>
  </w:style>
  <w:style w:type="character" w:styleId="13">
    <w:name w:val="Hyperlink"/>
    <w:basedOn w:val="11"/>
    <w:unhideWhenUsed/>
    <w:qFormat/>
    <w:uiPriority w:val="99"/>
    <w:rPr>
      <w:color w:val="0000FF"/>
      <w:u w:val="single"/>
    </w:rPr>
  </w:style>
  <w:style w:type="character" w:styleId="14">
    <w:name w:val="annotation reference"/>
    <w:basedOn w:val="11"/>
    <w:qFormat/>
    <w:uiPriority w:val="0"/>
    <w:rPr>
      <w:sz w:val="21"/>
      <w:szCs w:val="21"/>
    </w:rPr>
  </w:style>
  <w:style w:type="character" w:styleId="15">
    <w:name w:val="footnote reference"/>
    <w:basedOn w:val="11"/>
    <w:unhideWhenUsed/>
    <w:qFormat/>
    <w:uiPriority w:val="99"/>
    <w:rPr>
      <w:vertAlign w:val="superscript"/>
    </w:rPr>
  </w:style>
  <w:style w:type="paragraph" w:customStyle="1" w:styleId="16">
    <w:name w:val="CellBody"/>
    <w:basedOn w:val="1"/>
    <w:qFormat/>
    <w:uiPriority w:val="99"/>
    <w:pPr>
      <w:spacing w:before="60" w:after="60" w:line="290" w:lineRule="auto"/>
    </w:pPr>
    <w:rPr>
      <w:kern w:val="20"/>
      <w:szCs w:val="20"/>
    </w:rPr>
  </w:style>
  <w:style w:type="paragraph" w:styleId="17">
    <w:name w:val="List Paragraph"/>
    <w:basedOn w:val="1"/>
    <w:link w:val="24"/>
    <w:qFormat/>
    <w:uiPriority w:val="34"/>
    <w:pPr>
      <w:ind w:left="720"/>
      <w:contextualSpacing/>
    </w:pPr>
    <w:rPr>
      <w:rFonts w:ascii="Cambria" w:hAnsi="Cambria" w:eastAsia="MS Mincho"/>
      <w:lang w:eastAsia="en-US"/>
    </w:rPr>
  </w:style>
  <w:style w:type="paragraph" w:customStyle="1" w:styleId="18">
    <w:name w:val="BodyText 1"/>
    <w:basedOn w:val="1"/>
    <w:qFormat/>
    <w:uiPriority w:val="1"/>
    <w:pPr>
      <w:spacing w:after="240"/>
      <w:ind w:firstLine="720"/>
    </w:pPr>
    <w:rPr>
      <w:rFonts w:cs="Arial"/>
      <w:lang w:eastAsia="en-US"/>
    </w:rPr>
  </w:style>
  <w:style w:type="character" w:customStyle="1" w:styleId="19">
    <w:name w:val="页眉 字符"/>
    <w:basedOn w:val="11"/>
    <w:link w:val="6"/>
    <w:qFormat/>
    <w:uiPriority w:val="99"/>
    <w:rPr>
      <w:rFonts w:ascii="Times New Roman" w:hAnsi="Times New Roman" w:eastAsia="宋体" w:cs="Times New Roman"/>
      <w:kern w:val="2"/>
      <w:sz w:val="21"/>
      <w:szCs w:val="24"/>
    </w:rPr>
  </w:style>
  <w:style w:type="paragraph" w:customStyle="1" w:styleId="20">
    <w:name w:val="Body A"/>
    <w:qFormat/>
    <w:uiPriority w:val="0"/>
    <w:pPr>
      <w:widowControl w:val="0"/>
      <w:spacing w:after="160" w:line="259" w:lineRule="auto"/>
      <w:jc w:val="both"/>
    </w:pPr>
    <w:rPr>
      <w:rFonts w:ascii="Calibri" w:hAnsi="Calibri" w:eastAsia="Calibri" w:cs="Calibri"/>
      <w:color w:val="000000"/>
      <w:kern w:val="2"/>
      <w:sz w:val="21"/>
      <w:szCs w:val="21"/>
      <w:lang w:val="de-DE" w:eastAsia="en-US" w:bidi="ar-SA"/>
    </w:rPr>
  </w:style>
  <w:style w:type="character" w:customStyle="1" w:styleId="21">
    <w:name w:val="批注文字 字符"/>
    <w:basedOn w:val="11"/>
    <w:link w:val="2"/>
    <w:qFormat/>
    <w:uiPriority w:val="0"/>
    <w:rPr>
      <w:rFonts w:ascii="Times New Roman" w:hAnsi="Times New Roman" w:eastAsia="宋体" w:cs="Times New Roman"/>
      <w:kern w:val="2"/>
      <w:sz w:val="21"/>
      <w:szCs w:val="24"/>
    </w:rPr>
  </w:style>
  <w:style w:type="character" w:customStyle="1" w:styleId="22">
    <w:name w:val="批注主题 字符"/>
    <w:basedOn w:val="21"/>
    <w:link w:val="8"/>
    <w:qFormat/>
    <w:uiPriority w:val="0"/>
    <w:rPr>
      <w:rFonts w:ascii="Times New Roman" w:hAnsi="Times New Roman" w:eastAsia="宋体" w:cs="Times New Roman"/>
      <w:b/>
      <w:bCs/>
      <w:kern w:val="2"/>
      <w:sz w:val="21"/>
      <w:szCs w:val="24"/>
    </w:rPr>
  </w:style>
  <w:style w:type="paragraph" w:customStyle="1" w:styleId="23">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24">
    <w:name w:val="列表段落 字符"/>
    <w:link w:val="17"/>
    <w:qFormat/>
    <w:locked/>
    <w:uiPriority w:val="34"/>
    <w:rPr>
      <w:rFonts w:ascii="Cambria" w:hAnsi="Cambria" w:eastAsia="MS Mincho" w:cs="Times New Roman"/>
      <w:kern w:val="2"/>
      <w:sz w:val="21"/>
      <w:szCs w:val="24"/>
      <w:lang w:eastAsia="en-US"/>
    </w:rPr>
  </w:style>
  <w:style w:type="character" w:customStyle="1" w:styleId="25">
    <w:name w:val="脚注文本 字符"/>
    <w:basedOn w:val="11"/>
    <w:link w:val="7"/>
    <w:qFormat/>
    <w:uiPriority w:val="99"/>
    <w:rPr>
      <w:rFonts w:ascii="Times New Roman" w:hAnsi="Times New Roman" w:eastAsia="宋体" w:cs="宋体"/>
      <w:lang w:val="en-GB"/>
    </w:rPr>
  </w:style>
  <w:style w:type="character" w:customStyle="1" w:styleId="26">
    <w:name w:val="批注框文本 字符"/>
    <w:basedOn w:val="11"/>
    <w:link w:val="4"/>
    <w:semiHidden/>
    <w:qFormat/>
    <w:uiPriority w:val="0"/>
    <w:rPr>
      <w:rFonts w:ascii="宋体" w:hAnsi="Times New Roman" w:eastAsia="宋体" w:cs="Times New Roman"/>
      <w:kern w:val="2"/>
      <w:sz w:val="18"/>
      <w:szCs w:val="18"/>
    </w:rPr>
  </w:style>
  <w:style w:type="paragraph" w:customStyle="1" w:styleId="27">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9">
    <w:name w:val="xl63"/>
    <w:basedOn w:val="1"/>
    <w:qFormat/>
    <w:uiPriority w:val="0"/>
    <w:pPr>
      <w:widowControl/>
      <w:pBdr>
        <w:bottom w:val="single" w:color="auto" w:sz="4" w:space="0"/>
      </w:pBdr>
      <w:spacing w:before="100" w:beforeAutospacing="1" w:after="100" w:afterAutospacing="1"/>
      <w:jc w:val="left"/>
    </w:pPr>
    <w:rPr>
      <w:rFonts w:ascii="宋体" w:hAnsi="宋体" w:cs="宋体"/>
      <w:b/>
      <w:bCs/>
      <w:kern w:val="0"/>
      <w:sz w:val="24"/>
    </w:rPr>
  </w:style>
  <w:style w:type="paragraph" w:customStyle="1" w:styleId="30">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31">
    <w:name w:val="xl65"/>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32">
    <w:name w:val="xl66"/>
    <w:basedOn w:val="1"/>
    <w:qFormat/>
    <w:uiPriority w:val="0"/>
    <w:pPr>
      <w:widowControl/>
      <w:pBdr>
        <w:top w:val="single" w:color="auto" w:sz="8" w:space="0"/>
        <w:left w:val="single" w:color="auto" w:sz="8" w:space="0"/>
      </w:pBdr>
      <w:shd w:val="clear" w:color="000000" w:fill="EEECE1"/>
      <w:spacing w:before="100" w:beforeAutospacing="1" w:after="100" w:afterAutospacing="1"/>
      <w:jc w:val="left"/>
    </w:pPr>
    <w:rPr>
      <w:rFonts w:ascii="宋体" w:hAnsi="宋体" w:cs="宋体"/>
      <w:b/>
      <w:bCs/>
      <w:kern w:val="0"/>
      <w:sz w:val="24"/>
    </w:rPr>
  </w:style>
  <w:style w:type="paragraph" w:customStyle="1" w:styleId="33">
    <w:name w:val="xl67"/>
    <w:basedOn w:val="1"/>
    <w:qFormat/>
    <w:uiPriority w:val="0"/>
    <w:pPr>
      <w:widowControl/>
      <w:pBdr>
        <w:top w:val="single" w:color="auto" w:sz="8" w:space="0"/>
      </w:pBdr>
      <w:shd w:val="clear" w:color="000000" w:fill="EEECE1"/>
      <w:spacing w:before="100" w:beforeAutospacing="1" w:after="100" w:afterAutospacing="1"/>
      <w:jc w:val="left"/>
    </w:pPr>
    <w:rPr>
      <w:rFonts w:ascii="宋体" w:hAnsi="宋体" w:cs="宋体"/>
      <w:b/>
      <w:bCs/>
      <w:kern w:val="0"/>
      <w:sz w:val="24"/>
    </w:rPr>
  </w:style>
  <w:style w:type="paragraph" w:customStyle="1" w:styleId="34">
    <w:name w:val="xl68"/>
    <w:basedOn w:val="1"/>
    <w:qFormat/>
    <w:uiPriority w:val="0"/>
    <w:pPr>
      <w:widowControl/>
      <w:pBdr>
        <w:top w:val="single" w:color="auto" w:sz="8" w:space="0"/>
      </w:pBdr>
      <w:shd w:val="clear" w:color="000000" w:fill="EEECE1"/>
      <w:spacing w:before="100" w:beforeAutospacing="1" w:after="100" w:afterAutospacing="1"/>
      <w:jc w:val="left"/>
    </w:pPr>
    <w:rPr>
      <w:rFonts w:ascii="宋体" w:hAnsi="宋体" w:cs="宋体"/>
      <w:kern w:val="0"/>
      <w:sz w:val="24"/>
    </w:rPr>
  </w:style>
  <w:style w:type="paragraph" w:customStyle="1" w:styleId="35">
    <w:name w:val="xl69"/>
    <w:basedOn w:val="1"/>
    <w:qFormat/>
    <w:uiPriority w:val="0"/>
    <w:pPr>
      <w:widowControl/>
      <w:pBdr>
        <w:top w:val="single" w:color="auto" w:sz="8" w:space="0"/>
      </w:pBdr>
      <w:shd w:val="clear" w:color="000000" w:fill="EEECE1"/>
      <w:spacing w:before="100" w:beforeAutospacing="1" w:after="100" w:afterAutospacing="1"/>
      <w:jc w:val="left"/>
    </w:pPr>
    <w:rPr>
      <w:rFonts w:ascii="宋体" w:hAnsi="宋体" w:cs="宋体"/>
      <w:kern w:val="0"/>
      <w:sz w:val="24"/>
    </w:rPr>
  </w:style>
  <w:style w:type="paragraph" w:customStyle="1" w:styleId="36">
    <w:name w:val="xl70"/>
    <w:basedOn w:val="1"/>
    <w:qFormat/>
    <w:uiPriority w:val="0"/>
    <w:pPr>
      <w:widowControl/>
      <w:pBdr>
        <w:top w:val="single" w:color="auto" w:sz="8" w:space="0"/>
      </w:pBdr>
      <w:shd w:val="clear" w:color="000000" w:fill="EEECE1"/>
      <w:spacing w:before="100" w:beforeAutospacing="1" w:after="100" w:afterAutospacing="1"/>
      <w:jc w:val="left"/>
    </w:pPr>
    <w:rPr>
      <w:rFonts w:ascii="宋体" w:hAnsi="宋体" w:cs="宋体"/>
      <w:kern w:val="0"/>
      <w:sz w:val="24"/>
    </w:rPr>
  </w:style>
  <w:style w:type="paragraph" w:customStyle="1" w:styleId="37">
    <w:name w:val="xl71"/>
    <w:basedOn w:val="1"/>
    <w:qFormat/>
    <w:uiPriority w:val="0"/>
    <w:pPr>
      <w:widowControl/>
      <w:pBdr>
        <w:top w:val="single" w:color="auto" w:sz="8" w:space="0"/>
        <w:right w:val="single" w:color="auto" w:sz="8" w:space="0"/>
      </w:pBdr>
      <w:shd w:val="clear" w:color="000000" w:fill="EEECE1"/>
      <w:spacing w:before="100" w:beforeAutospacing="1" w:after="100" w:afterAutospacing="1"/>
      <w:jc w:val="left"/>
    </w:pPr>
    <w:rPr>
      <w:rFonts w:ascii="宋体" w:hAnsi="宋体" w:cs="宋体"/>
      <w:kern w:val="0"/>
      <w:sz w:val="24"/>
    </w:rPr>
  </w:style>
  <w:style w:type="paragraph" w:customStyle="1" w:styleId="38">
    <w:name w:val="xl72"/>
    <w:basedOn w:val="1"/>
    <w:qFormat/>
    <w:uiPriority w:val="0"/>
    <w:pPr>
      <w:widowControl/>
      <w:pBdr>
        <w:left w:val="single" w:color="auto" w:sz="8" w:space="0"/>
      </w:pBdr>
      <w:shd w:val="clear" w:color="000000" w:fill="EEECE1"/>
      <w:spacing w:before="100" w:beforeAutospacing="1" w:after="100" w:afterAutospacing="1"/>
      <w:jc w:val="left"/>
    </w:pPr>
    <w:rPr>
      <w:rFonts w:ascii="宋体" w:hAnsi="宋体" w:cs="宋体"/>
      <w:kern w:val="0"/>
      <w:sz w:val="24"/>
    </w:rPr>
  </w:style>
  <w:style w:type="paragraph" w:customStyle="1" w:styleId="39">
    <w:name w:val="xl73"/>
    <w:basedOn w:val="1"/>
    <w:qFormat/>
    <w:uiPriority w:val="0"/>
    <w:pPr>
      <w:widowControl/>
      <w:shd w:val="clear" w:color="000000" w:fill="EEECE1"/>
      <w:spacing w:before="100" w:beforeAutospacing="1" w:after="100" w:afterAutospacing="1"/>
      <w:jc w:val="left"/>
    </w:pPr>
    <w:rPr>
      <w:rFonts w:ascii="宋体" w:hAnsi="宋体" w:cs="宋体"/>
      <w:kern w:val="0"/>
      <w:sz w:val="24"/>
    </w:rPr>
  </w:style>
  <w:style w:type="paragraph" w:customStyle="1" w:styleId="40">
    <w:name w:val="xl74"/>
    <w:basedOn w:val="1"/>
    <w:qFormat/>
    <w:uiPriority w:val="0"/>
    <w:pPr>
      <w:widowControl/>
      <w:pBdr>
        <w:left w:val="single" w:color="auto" w:sz="8" w:space="0"/>
        <w:bottom w:val="single" w:color="auto" w:sz="8" w:space="0"/>
      </w:pBdr>
      <w:shd w:val="clear" w:color="000000" w:fill="EEECE1"/>
      <w:spacing w:before="100" w:beforeAutospacing="1" w:after="100" w:afterAutospacing="1"/>
      <w:jc w:val="left"/>
    </w:pPr>
    <w:rPr>
      <w:rFonts w:ascii="宋体" w:hAnsi="宋体" w:cs="宋体"/>
      <w:b/>
      <w:bCs/>
      <w:kern w:val="0"/>
      <w:sz w:val="24"/>
    </w:rPr>
  </w:style>
  <w:style w:type="paragraph" w:customStyle="1" w:styleId="41">
    <w:name w:val="xl75"/>
    <w:basedOn w:val="1"/>
    <w:qFormat/>
    <w:uiPriority w:val="0"/>
    <w:pPr>
      <w:widowControl/>
      <w:pBdr>
        <w:bottom w:val="single" w:color="auto" w:sz="8" w:space="0"/>
      </w:pBdr>
      <w:shd w:val="clear" w:color="000000" w:fill="EEECE1"/>
      <w:spacing w:before="100" w:beforeAutospacing="1" w:after="100" w:afterAutospacing="1"/>
      <w:jc w:val="left"/>
    </w:pPr>
    <w:rPr>
      <w:rFonts w:ascii="宋体" w:hAnsi="宋体" w:cs="宋体"/>
      <w:b/>
      <w:bCs/>
      <w:kern w:val="0"/>
      <w:sz w:val="24"/>
    </w:rPr>
  </w:style>
  <w:style w:type="paragraph" w:customStyle="1" w:styleId="42">
    <w:name w:val="xl76"/>
    <w:basedOn w:val="1"/>
    <w:qFormat/>
    <w:uiPriority w:val="0"/>
    <w:pPr>
      <w:widowControl/>
      <w:pBdr>
        <w:bottom w:val="single" w:color="auto" w:sz="8" w:space="0"/>
      </w:pBdr>
      <w:shd w:val="clear" w:color="000000" w:fill="EEECE1"/>
      <w:spacing w:before="100" w:beforeAutospacing="1" w:after="100" w:afterAutospacing="1"/>
      <w:jc w:val="left"/>
    </w:pPr>
    <w:rPr>
      <w:rFonts w:ascii="宋体" w:hAnsi="宋体" w:cs="宋体"/>
      <w:b/>
      <w:bCs/>
      <w:kern w:val="0"/>
      <w:sz w:val="24"/>
    </w:rPr>
  </w:style>
  <w:style w:type="paragraph" w:customStyle="1" w:styleId="43">
    <w:name w:val="xl77"/>
    <w:basedOn w:val="1"/>
    <w:qFormat/>
    <w:uiPriority w:val="0"/>
    <w:pPr>
      <w:widowControl/>
      <w:pBdr>
        <w:top w:val="single" w:color="auto" w:sz="4" w:space="0"/>
        <w:bottom w:val="double" w:color="auto" w:sz="6" w:space="0"/>
      </w:pBdr>
      <w:spacing w:before="100" w:beforeAutospacing="1" w:after="100" w:afterAutospacing="1"/>
      <w:jc w:val="left"/>
    </w:pPr>
    <w:rPr>
      <w:rFonts w:ascii="宋体" w:hAnsi="宋体" w:cs="宋体"/>
      <w:b/>
      <w:bCs/>
      <w:kern w:val="0"/>
      <w:sz w:val="24"/>
    </w:rPr>
  </w:style>
  <w:style w:type="paragraph" w:customStyle="1" w:styleId="44">
    <w:name w:val="xl78"/>
    <w:basedOn w:val="1"/>
    <w:qFormat/>
    <w:uiPriority w:val="0"/>
    <w:pPr>
      <w:widowControl/>
      <w:pBdr>
        <w:top w:val="single" w:color="auto" w:sz="4" w:space="0"/>
        <w:bottom w:val="double" w:color="auto" w:sz="6" w:space="0"/>
      </w:pBdr>
      <w:spacing w:before="100" w:beforeAutospacing="1" w:after="100" w:afterAutospacing="1"/>
      <w:jc w:val="left"/>
    </w:pPr>
    <w:rPr>
      <w:rFonts w:ascii="宋体" w:hAnsi="宋体" w:cs="宋体"/>
      <w:b/>
      <w:bCs/>
      <w:kern w:val="0"/>
      <w:sz w:val="24"/>
    </w:rPr>
  </w:style>
  <w:style w:type="paragraph" w:customStyle="1" w:styleId="45">
    <w:name w:val="xl79"/>
    <w:basedOn w:val="1"/>
    <w:qFormat/>
    <w:uiPriority w:val="0"/>
    <w:pPr>
      <w:widowControl/>
      <w:pBdr>
        <w:left w:val="single" w:color="auto" w:sz="8" w:space="0"/>
      </w:pBdr>
      <w:spacing w:before="100" w:beforeAutospacing="1" w:after="100" w:afterAutospacing="1"/>
      <w:jc w:val="left"/>
    </w:pPr>
    <w:rPr>
      <w:rFonts w:ascii="宋体" w:hAnsi="宋体" w:cs="宋体"/>
      <w:kern w:val="0"/>
      <w:sz w:val="24"/>
    </w:rPr>
  </w:style>
  <w:style w:type="paragraph" w:customStyle="1" w:styleId="46">
    <w:name w:val="xl81"/>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xl82"/>
    <w:basedOn w:val="1"/>
    <w:qFormat/>
    <w:uiPriority w:val="0"/>
    <w:pPr>
      <w:widowControl/>
      <w:pBdr>
        <w:right w:val="single" w:color="auto" w:sz="8" w:space="0"/>
      </w:pBdr>
      <w:spacing w:before="100" w:beforeAutospacing="1" w:after="100" w:afterAutospacing="1"/>
      <w:jc w:val="left"/>
    </w:pPr>
    <w:rPr>
      <w:rFonts w:ascii="宋体" w:hAnsi="宋体" w:cs="宋体"/>
      <w:kern w:val="0"/>
      <w:sz w:val="24"/>
    </w:rPr>
  </w:style>
  <w:style w:type="paragraph" w:customStyle="1" w:styleId="48">
    <w:name w:val="xl83"/>
    <w:basedOn w:val="1"/>
    <w:qFormat/>
    <w:uiPriority w:val="0"/>
    <w:pPr>
      <w:widowControl/>
      <w:pBdr>
        <w:left w:val="single" w:color="auto" w:sz="8" w:space="0"/>
      </w:pBdr>
      <w:shd w:val="clear" w:color="000000" w:fill="EEECE1"/>
      <w:spacing w:before="100" w:beforeAutospacing="1" w:after="100" w:afterAutospacing="1"/>
      <w:jc w:val="left"/>
    </w:pPr>
    <w:rPr>
      <w:rFonts w:ascii="宋体" w:hAnsi="宋体" w:cs="宋体"/>
      <w:b/>
      <w:bCs/>
      <w:kern w:val="0"/>
      <w:sz w:val="24"/>
    </w:rPr>
  </w:style>
  <w:style w:type="paragraph" w:customStyle="1" w:styleId="49">
    <w:name w:val="xl84"/>
    <w:basedOn w:val="1"/>
    <w:qFormat/>
    <w:uiPriority w:val="0"/>
    <w:pPr>
      <w:widowControl/>
      <w:shd w:val="clear" w:color="000000" w:fill="EEECE1"/>
      <w:spacing w:before="100" w:beforeAutospacing="1" w:after="100" w:afterAutospacing="1"/>
      <w:jc w:val="left"/>
    </w:pPr>
    <w:rPr>
      <w:rFonts w:ascii="宋体" w:hAnsi="宋体" w:cs="宋体"/>
      <w:b/>
      <w:bCs/>
      <w:kern w:val="0"/>
      <w:sz w:val="24"/>
    </w:rPr>
  </w:style>
  <w:style w:type="paragraph" w:customStyle="1" w:styleId="50">
    <w:name w:val="xl85"/>
    <w:basedOn w:val="1"/>
    <w:qFormat/>
    <w:uiPriority w:val="0"/>
    <w:pPr>
      <w:widowControl/>
      <w:shd w:val="clear" w:color="000000" w:fill="EEECE1"/>
      <w:spacing w:before="100" w:beforeAutospacing="1" w:after="100" w:afterAutospacing="1"/>
      <w:jc w:val="left"/>
    </w:pPr>
    <w:rPr>
      <w:rFonts w:ascii="宋体" w:hAnsi="宋体" w:cs="宋体"/>
      <w:b/>
      <w:bCs/>
      <w:kern w:val="0"/>
      <w:sz w:val="24"/>
    </w:rPr>
  </w:style>
  <w:style w:type="paragraph" w:customStyle="1" w:styleId="51">
    <w:name w:val="xl86"/>
    <w:basedOn w:val="1"/>
    <w:qFormat/>
    <w:uiPriority w:val="0"/>
    <w:pPr>
      <w:widowControl/>
      <w:shd w:val="clear" w:color="000000" w:fill="EEECE1"/>
      <w:spacing w:before="100" w:beforeAutospacing="1" w:after="100" w:afterAutospacing="1"/>
      <w:jc w:val="left"/>
    </w:pPr>
    <w:rPr>
      <w:rFonts w:ascii="宋体" w:hAnsi="宋体" w:cs="宋体"/>
      <w:b/>
      <w:bCs/>
      <w:kern w:val="0"/>
      <w:sz w:val="24"/>
    </w:rPr>
  </w:style>
  <w:style w:type="paragraph" w:customStyle="1" w:styleId="52">
    <w:name w:val="xl87"/>
    <w:basedOn w:val="1"/>
    <w:qFormat/>
    <w:uiPriority w:val="0"/>
    <w:pPr>
      <w:widowControl/>
      <w:shd w:val="clear" w:color="000000" w:fill="EEECE1"/>
      <w:spacing w:before="100" w:beforeAutospacing="1" w:after="100" w:afterAutospacing="1"/>
      <w:jc w:val="left"/>
    </w:pPr>
    <w:rPr>
      <w:rFonts w:ascii="宋体" w:hAnsi="宋体" w:cs="宋体"/>
      <w:b/>
      <w:bCs/>
      <w:kern w:val="0"/>
      <w:sz w:val="24"/>
    </w:rPr>
  </w:style>
  <w:style w:type="paragraph" w:customStyle="1" w:styleId="53">
    <w:name w:val="xl88"/>
    <w:basedOn w:val="1"/>
    <w:qFormat/>
    <w:uiPriority w:val="0"/>
    <w:pPr>
      <w:widowControl/>
      <w:pBdr>
        <w:right w:val="single" w:color="auto" w:sz="8" w:space="0"/>
      </w:pBdr>
      <w:shd w:val="clear" w:color="000000" w:fill="EEECE1"/>
      <w:spacing w:before="100" w:beforeAutospacing="1" w:after="100" w:afterAutospacing="1"/>
      <w:jc w:val="left"/>
    </w:pPr>
    <w:rPr>
      <w:rFonts w:ascii="宋体" w:hAnsi="宋体" w:cs="宋体"/>
      <w:b/>
      <w:bCs/>
      <w:kern w:val="0"/>
      <w:sz w:val="24"/>
    </w:rPr>
  </w:style>
  <w:style w:type="paragraph" w:customStyle="1" w:styleId="54">
    <w:name w:val="xl89"/>
    <w:basedOn w:val="1"/>
    <w:qFormat/>
    <w:uiPriority w:val="0"/>
    <w:pPr>
      <w:widowControl/>
      <w:pBdr>
        <w:left w:val="single" w:color="auto" w:sz="8" w:space="0"/>
      </w:pBdr>
      <w:spacing w:before="100" w:beforeAutospacing="1" w:after="100" w:afterAutospacing="1"/>
      <w:jc w:val="left"/>
    </w:pPr>
    <w:rPr>
      <w:rFonts w:ascii="宋体" w:hAnsi="宋体" w:cs="宋体"/>
      <w:b/>
      <w:bCs/>
      <w:kern w:val="0"/>
      <w:sz w:val="24"/>
    </w:rPr>
  </w:style>
  <w:style w:type="paragraph" w:customStyle="1" w:styleId="55">
    <w:name w:val="xl90"/>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56">
    <w:name w:val="xl91"/>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57">
    <w:name w:val="xl92"/>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58">
    <w:name w:val="xl93"/>
    <w:basedOn w:val="1"/>
    <w:qFormat/>
    <w:uiPriority w:val="0"/>
    <w:pPr>
      <w:widowControl/>
      <w:pBdr>
        <w:right w:val="single" w:color="auto" w:sz="8" w:space="0"/>
      </w:pBdr>
      <w:spacing w:before="100" w:beforeAutospacing="1" w:after="100" w:afterAutospacing="1"/>
      <w:jc w:val="left"/>
    </w:pPr>
    <w:rPr>
      <w:rFonts w:ascii="宋体" w:hAnsi="宋体" w:cs="宋体"/>
      <w:b/>
      <w:bCs/>
      <w:kern w:val="0"/>
      <w:sz w:val="24"/>
    </w:rPr>
  </w:style>
  <w:style w:type="paragraph" w:customStyle="1" w:styleId="59">
    <w:name w:val="xl94"/>
    <w:basedOn w:val="1"/>
    <w:qFormat/>
    <w:uiPriority w:val="0"/>
    <w:pPr>
      <w:widowControl/>
      <w:pBdr>
        <w:right w:val="single" w:color="auto" w:sz="8" w:space="0"/>
      </w:pBdr>
      <w:shd w:val="clear" w:color="000000" w:fill="EEECE1"/>
      <w:spacing w:before="100" w:beforeAutospacing="1" w:after="100" w:afterAutospacing="1"/>
      <w:jc w:val="left"/>
    </w:pPr>
    <w:rPr>
      <w:rFonts w:ascii="宋体" w:hAnsi="宋体" w:cs="宋体"/>
      <w:b/>
      <w:bCs/>
      <w:kern w:val="0"/>
      <w:sz w:val="24"/>
    </w:rPr>
  </w:style>
  <w:style w:type="paragraph" w:customStyle="1" w:styleId="60">
    <w:name w:val="xl95"/>
    <w:basedOn w:val="1"/>
    <w:qFormat/>
    <w:uiPriority w:val="0"/>
    <w:pPr>
      <w:widowControl/>
      <w:pBdr>
        <w:right w:val="single" w:color="auto" w:sz="8" w:space="0"/>
      </w:pBdr>
      <w:spacing w:before="100" w:beforeAutospacing="1" w:after="100" w:afterAutospacing="1"/>
      <w:jc w:val="left"/>
    </w:pPr>
    <w:rPr>
      <w:rFonts w:ascii="宋体" w:hAnsi="宋体" w:cs="宋体"/>
      <w:b/>
      <w:bCs/>
      <w:kern w:val="0"/>
      <w:sz w:val="24"/>
    </w:rPr>
  </w:style>
  <w:style w:type="paragraph" w:customStyle="1" w:styleId="61">
    <w:name w:val="xl97"/>
    <w:basedOn w:val="1"/>
    <w:qFormat/>
    <w:uiPriority w:val="0"/>
    <w:pPr>
      <w:widowControl/>
      <w:spacing w:before="100" w:beforeAutospacing="1" w:after="100" w:afterAutospacing="1"/>
      <w:jc w:val="left"/>
    </w:pPr>
    <w:rPr>
      <w:rFonts w:ascii="宋体" w:hAnsi="宋体" w:cs="宋体"/>
      <w:kern w:val="0"/>
      <w:sz w:val="24"/>
    </w:rPr>
  </w:style>
  <w:style w:type="paragraph" w:customStyle="1" w:styleId="62">
    <w:name w:val="xl98"/>
    <w:basedOn w:val="1"/>
    <w:qFormat/>
    <w:uiPriority w:val="0"/>
    <w:pPr>
      <w:widowControl/>
      <w:pBdr>
        <w:right w:val="single" w:color="auto" w:sz="8" w:space="0"/>
      </w:pBdr>
      <w:spacing w:before="100" w:beforeAutospacing="1" w:after="100" w:afterAutospacing="1"/>
      <w:jc w:val="left"/>
    </w:pPr>
    <w:rPr>
      <w:rFonts w:ascii="宋体" w:hAnsi="宋体" w:cs="宋体"/>
      <w:kern w:val="0"/>
      <w:sz w:val="24"/>
    </w:rPr>
  </w:style>
  <w:style w:type="paragraph" w:customStyle="1" w:styleId="63">
    <w:name w:val="xl99"/>
    <w:basedOn w:val="1"/>
    <w:qFormat/>
    <w:uiPriority w:val="0"/>
    <w:pPr>
      <w:widowControl/>
      <w:pBdr>
        <w:top w:val="single" w:color="auto" w:sz="4" w:space="0"/>
        <w:bottom w:val="double" w:color="auto" w:sz="6" w:space="0"/>
        <w:right w:val="single" w:color="auto" w:sz="8" w:space="0"/>
      </w:pBdr>
      <w:spacing w:before="100" w:beforeAutospacing="1" w:after="100" w:afterAutospacing="1"/>
      <w:jc w:val="left"/>
    </w:pPr>
    <w:rPr>
      <w:rFonts w:ascii="宋体" w:hAnsi="宋体" w:cs="宋体"/>
      <w:b/>
      <w:bCs/>
      <w:kern w:val="0"/>
      <w:sz w:val="24"/>
    </w:rPr>
  </w:style>
  <w:style w:type="paragraph" w:customStyle="1" w:styleId="64">
    <w:name w:val="xl100"/>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kern w:val="0"/>
      <w:sz w:val="24"/>
    </w:rPr>
  </w:style>
  <w:style w:type="paragraph" w:customStyle="1" w:styleId="65">
    <w:name w:val="xl101"/>
    <w:basedOn w:val="1"/>
    <w:qFormat/>
    <w:uiPriority w:val="0"/>
    <w:pPr>
      <w:widowControl/>
      <w:pBdr>
        <w:bottom w:val="single" w:color="auto" w:sz="8" w:space="0"/>
      </w:pBdr>
      <w:spacing w:before="100" w:beforeAutospacing="1" w:after="100" w:afterAutospacing="1"/>
      <w:jc w:val="left"/>
    </w:pPr>
    <w:rPr>
      <w:rFonts w:ascii="宋体" w:hAnsi="宋体" w:cs="宋体"/>
      <w:kern w:val="0"/>
      <w:sz w:val="24"/>
    </w:rPr>
  </w:style>
  <w:style w:type="paragraph" w:customStyle="1" w:styleId="66">
    <w:name w:val="xl102"/>
    <w:basedOn w:val="1"/>
    <w:qFormat/>
    <w:uiPriority w:val="0"/>
    <w:pPr>
      <w:widowControl/>
      <w:pBdr>
        <w:bottom w:val="single" w:color="auto" w:sz="8" w:space="0"/>
      </w:pBdr>
      <w:spacing w:before="100" w:beforeAutospacing="1" w:after="100" w:afterAutospacing="1"/>
      <w:jc w:val="left"/>
    </w:pPr>
    <w:rPr>
      <w:rFonts w:ascii="宋体" w:hAnsi="宋体" w:cs="宋体"/>
      <w:kern w:val="0"/>
      <w:sz w:val="24"/>
    </w:rPr>
  </w:style>
  <w:style w:type="paragraph" w:customStyle="1" w:styleId="67">
    <w:name w:val="xl103"/>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24"/>
    </w:rPr>
  </w:style>
  <w:style w:type="paragraph" w:customStyle="1" w:styleId="68">
    <w:name w:val="xl104"/>
    <w:basedOn w:val="1"/>
    <w:qFormat/>
    <w:uiPriority w:val="0"/>
    <w:pPr>
      <w:widowControl/>
      <w:pBdr>
        <w:bottom w:val="single" w:color="auto" w:sz="8" w:space="0"/>
        <w:right w:val="single" w:color="auto" w:sz="8" w:space="0"/>
      </w:pBdr>
      <w:shd w:val="clear" w:color="000000" w:fill="EEECE1"/>
      <w:spacing w:before="100" w:beforeAutospacing="1" w:after="100" w:afterAutospacing="1"/>
      <w:jc w:val="center"/>
    </w:pPr>
    <w:rPr>
      <w:rFonts w:ascii="宋体" w:hAnsi="宋体" w:cs="宋体"/>
      <w:b/>
      <w:bCs/>
      <w:kern w:val="0"/>
      <w:sz w:val="24"/>
    </w:rPr>
  </w:style>
  <w:style w:type="paragraph" w:customStyle="1" w:styleId="69">
    <w:name w:val="xl105"/>
    <w:basedOn w:val="1"/>
    <w:qFormat/>
    <w:uiPriority w:val="0"/>
    <w:pPr>
      <w:widowControl/>
      <w:pBdr>
        <w:bottom w:val="single" w:color="auto" w:sz="8" w:space="0"/>
      </w:pBdr>
      <w:shd w:val="clear" w:color="000000" w:fill="EEECE1"/>
      <w:spacing w:before="100" w:beforeAutospacing="1" w:after="100" w:afterAutospacing="1"/>
      <w:jc w:val="center"/>
    </w:pPr>
    <w:rPr>
      <w:rFonts w:ascii="宋体" w:hAnsi="宋体" w:cs="宋体"/>
      <w:b/>
      <w:bCs/>
      <w:kern w:val="0"/>
      <w:sz w:val="24"/>
    </w:rPr>
  </w:style>
  <w:style w:type="paragraph" w:customStyle="1" w:styleId="70">
    <w:name w:val="xl106"/>
    <w:basedOn w:val="1"/>
    <w:qFormat/>
    <w:uiPriority w:val="0"/>
    <w:pPr>
      <w:widowControl/>
      <w:pBdr>
        <w:bottom w:val="single" w:color="auto" w:sz="8" w:space="0"/>
      </w:pBdr>
      <w:shd w:val="clear" w:color="000000" w:fill="EEECE1"/>
      <w:spacing w:before="100" w:beforeAutospacing="1" w:after="100" w:afterAutospacing="1"/>
      <w:jc w:val="center"/>
    </w:pPr>
    <w:rPr>
      <w:rFonts w:ascii="宋体" w:hAnsi="宋体" w:cs="宋体"/>
      <w:b/>
      <w:bCs/>
      <w:kern w:val="0"/>
      <w:sz w:val="24"/>
    </w:rPr>
  </w:style>
  <w:style w:type="paragraph" w:customStyle="1" w:styleId="71">
    <w:name w:val="xl107"/>
    <w:basedOn w:val="1"/>
    <w:qFormat/>
    <w:uiPriority w:val="0"/>
    <w:pPr>
      <w:widowControl/>
      <w:shd w:val="clear" w:color="000000" w:fill="EEECE1"/>
      <w:spacing w:before="100" w:beforeAutospacing="1" w:after="100" w:afterAutospacing="1"/>
      <w:jc w:val="center"/>
    </w:pPr>
    <w:rPr>
      <w:rFonts w:ascii="宋体" w:hAnsi="宋体" w:cs="宋体"/>
      <w:b/>
      <w:bCs/>
      <w:kern w:val="0"/>
      <w:sz w:val="24"/>
    </w:rPr>
  </w:style>
  <w:style w:type="paragraph" w:customStyle="1" w:styleId="72">
    <w:name w:val="xl108"/>
    <w:basedOn w:val="1"/>
    <w:qFormat/>
    <w:uiPriority w:val="0"/>
    <w:pPr>
      <w:widowControl/>
      <w:pBdr>
        <w:right w:val="single" w:color="auto" w:sz="8" w:space="0"/>
      </w:pBdr>
      <w:shd w:val="clear" w:color="000000" w:fill="EEECE1"/>
      <w:spacing w:before="100" w:beforeAutospacing="1" w:after="100" w:afterAutospacing="1"/>
      <w:jc w:val="center"/>
    </w:pPr>
    <w:rPr>
      <w:rFonts w:ascii="宋体" w:hAnsi="宋体" w:cs="宋体"/>
      <w:b/>
      <w:bCs/>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700</Words>
  <Characters>3993</Characters>
  <Lines>33</Lines>
  <Paragraphs>9</Paragraphs>
  <TotalTime>3</TotalTime>
  <ScaleCrop>false</ScaleCrop>
  <LinksUpToDate>false</LinksUpToDate>
  <CharactersWithSpaces>4684</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2021-12-16T06:33:00Z</dcterms:created>
  <dc:creator>周智高</dc:creator>
  <cp:lastModifiedBy>greatwall</cp:lastModifiedBy>
  <cp:lastPrinted>2022-01-19T17:10:00Z</cp:lastPrinted>
  <dcterms:modified xsi:type="dcterms:W3CDTF">2022-01-21T16:28:05Z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