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2-17号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当事人：河南兆丰信用评估咨询有限公司</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：914101056807500741</w:t>
      </w:r>
    </w:p>
    <w:p>
      <w:pPr>
        <w:keepNext w:val="0"/>
        <w:keepLines w:val="0"/>
        <w:pageBreakBefore w:val="0"/>
        <w:widowControl w:val="0"/>
        <w:kinsoku/>
        <w:wordWrap/>
        <w:overflowPunct/>
        <w:topLinePunct w:val="0"/>
        <w:autoSpaceDE/>
        <w:autoSpaceDN/>
        <w:bidi w:val="0"/>
        <w:adjustRightInd/>
        <w:snapToGrid/>
        <w:spacing w:line="570" w:lineRule="exact"/>
        <w:ind w:left="1854" w:leftChars="304" w:hanging="1216" w:hangingChars="38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所：河南省郑州市金水区农业路东62号苏荷中心1539号</w:t>
      </w:r>
    </w:p>
    <w:p>
      <w:pPr>
        <w:keepNext w:val="0"/>
        <w:keepLines w:val="0"/>
        <w:pageBreakBefore w:val="0"/>
        <w:widowControl w:val="0"/>
        <w:kinsoku/>
        <w:topLinePunct w:val="0"/>
        <w:autoSpaceDE/>
        <w:autoSpaceDN/>
        <w:bidi w:val="0"/>
        <w:spacing w:line="57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7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业务范围：企业信誉评估咨询服务；个人信用、信誉、资讯及咨询等。</w:t>
      </w: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17</w:t>
      </w:r>
      <w:r>
        <w:rPr>
          <w:rFonts w:hint="eastAsia" w:ascii="仿宋_GB2312" w:hAnsi="仿宋" w:eastAsia="仿宋_GB2312" w:cs="仿宋"/>
          <w:color w:val="auto"/>
          <w:sz w:val="32"/>
          <w:szCs w:val="32"/>
        </w:rPr>
        <w:t>号），告知了当事人拟作出行政处罚的事实、理由、依据和处罚内容，并告知当事人享有陈述、申辩的权利。</w:t>
      </w:r>
      <w:r>
        <w:rPr>
          <w:rFonts w:hint="eastAsia" w:ascii="仿宋_GB2312" w:hAnsi="仿宋" w:eastAsia="仿宋_GB2312" w:cs="仿宋"/>
          <w:color w:val="auto"/>
          <w:sz w:val="32"/>
          <w:szCs w:val="32"/>
          <w:lang w:eastAsia="zh-CN"/>
        </w:rPr>
        <w:t>当事人于</w:t>
      </w:r>
      <w:r>
        <w:rPr>
          <w:rFonts w:hint="eastAsia" w:ascii="仿宋_GB2312" w:hAnsi="仿宋" w:eastAsia="仿宋_GB2312" w:cs="仿宋"/>
          <w:color w:val="auto"/>
          <w:sz w:val="32"/>
          <w:szCs w:val="32"/>
          <w:lang w:val="en-US" w:eastAsia="zh-CN"/>
        </w:rPr>
        <w:t>2022年6月1日提出书面陈述申辩。</w:t>
      </w:r>
      <w:r>
        <w:rPr>
          <w:rFonts w:hint="eastAsia" w:ascii="CESI仿宋-GB2312" w:hAnsi="CESI仿宋-GB2312" w:eastAsia="CESI仿宋-GB2312" w:cs="CESI仿宋-GB2312"/>
          <w:color w:val="auto"/>
          <w:sz w:val="32"/>
          <w:szCs w:val="32"/>
        </w:rPr>
        <w:t>本机关充分听取了</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的意见，并对</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提交的陈述申辩</w:t>
      </w:r>
      <w:r>
        <w:rPr>
          <w:rFonts w:hint="eastAsia" w:ascii="CESI仿宋-GB2312" w:hAnsi="CESI仿宋-GB2312" w:eastAsia="CESI仿宋-GB2312" w:cs="CESI仿宋-GB2312"/>
          <w:color w:val="auto"/>
          <w:sz w:val="32"/>
          <w:szCs w:val="32"/>
          <w:lang w:eastAsia="zh-CN"/>
        </w:rPr>
        <w:t>意见</w:t>
      </w:r>
      <w:r>
        <w:rPr>
          <w:rFonts w:hint="eastAsia" w:ascii="CESI仿宋-GB2312" w:hAnsi="CESI仿宋-GB2312" w:eastAsia="CESI仿宋-GB2312" w:cs="CESI仿宋-GB2312"/>
          <w:color w:val="auto"/>
          <w:sz w:val="32"/>
          <w:szCs w:val="32"/>
        </w:rPr>
        <w:t>进行</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复核</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7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鑫诚信用管理有限公司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w:t>
      </w:r>
      <w:bookmarkStart w:id="0" w:name="_GoBack"/>
      <w:bookmarkEnd w:id="0"/>
      <w:r>
        <w:rPr>
          <w:rFonts w:hint="eastAsia" w:ascii="仿宋_GB2312" w:hAnsi="仿宋" w:eastAsia="仿宋_GB2312" w:cs="仿宋"/>
          <w:color w:val="auto"/>
          <w:sz w:val="32"/>
          <w:szCs w:val="32"/>
        </w:rPr>
        <w:t>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总额为509,135.00</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keepNext w:val="0"/>
        <w:keepLines w:val="0"/>
        <w:pageBreakBefore w:val="0"/>
        <w:widowControl w:val="0"/>
        <w:kinsoku/>
        <w:topLinePunct w:val="0"/>
        <w:autoSpaceDE/>
        <w:autoSpaceDN/>
        <w:bidi w:val="0"/>
        <w:spacing w:line="570" w:lineRule="exact"/>
        <w:ind w:firstLine="642"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keepNext w:val="0"/>
        <w:keepLines w:val="0"/>
        <w:pageBreakBefore w:val="0"/>
        <w:widowControl w:val="0"/>
        <w:kinsoku/>
        <w:topLinePunct w:val="0"/>
        <w:autoSpaceDE/>
        <w:autoSpaceDN/>
        <w:bidi w:val="0"/>
        <w:spacing w:line="570" w:lineRule="exact"/>
        <w:ind w:firstLine="642" w:firstLineChars="200"/>
        <w:textAlignment w:val="auto"/>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rPr>
        <w:t>针对上述事实和证据，当事人主要提出</w:t>
      </w:r>
      <w:r>
        <w:rPr>
          <w:rFonts w:hint="eastAsia" w:ascii="CESI仿宋-GB2312" w:hAnsi="CESI仿宋-GB2312" w:eastAsia="CESI仿宋-GB2312" w:cs="CESI仿宋-GB2312"/>
          <w:color w:val="auto"/>
          <w:sz w:val="32"/>
          <w:szCs w:val="32"/>
          <w:lang w:eastAsia="zh-CN"/>
        </w:rPr>
        <w:t>以下四个</w:t>
      </w:r>
      <w:r>
        <w:rPr>
          <w:rFonts w:hint="eastAsia" w:ascii="CESI仿宋-GB2312" w:hAnsi="CESI仿宋-GB2312" w:eastAsia="CESI仿宋-GB2312" w:cs="CESI仿宋-GB2312"/>
          <w:color w:val="auto"/>
          <w:sz w:val="32"/>
          <w:szCs w:val="32"/>
        </w:rPr>
        <w:t>方面意见：</w:t>
      </w:r>
      <w:r>
        <w:rPr>
          <w:rFonts w:hint="eastAsia" w:ascii="CESI仿宋-GB2312" w:hAnsi="CESI仿宋-GB2312" w:eastAsia="CESI仿宋-GB2312" w:cs="CESI仿宋-GB2312"/>
          <w:color w:val="auto"/>
          <w:sz w:val="32"/>
          <w:szCs w:val="32"/>
          <w:lang w:eastAsia="zh-CN"/>
        </w:rPr>
        <w:t>一是当事人系在河南省信用建设促进会的要求下签订相关公约；二是当事人对《自律公约》的具体内容不知情；三是2018年、2019年当事人与相关经营者签订的《自律公约》不属于垄断协议；四是当事人与相关经营者签订的《自律公约》具有一定的合理性和正当性且未实际执行</w:t>
      </w:r>
      <w:r>
        <w:rPr>
          <w:rFonts w:hint="eastAsia" w:ascii="CESI仿宋-GB2312" w:hAnsi="CESI仿宋-GB2312" w:eastAsia="CESI仿宋-GB2312" w:cs="CESI仿宋-GB2312"/>
          <w:color w:val="auto"/>
          <w:sz w:val="32"/>
          <w:szCs w:val="32"/>
          <w:lang w:val="en-US" w:eastAsia="zh-CN"/>
        </w:rPr>
        <w:t>。</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本机关充分听取了</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的意见，并对</w:t>
      </w:r>
      <w:r>
        <w:rPr>
          <w:rFonts w:hint="eastAsia" w:ascii="CESI仿宋-GB2312" w:hAnsi="CESI仿宋-GB2312" w:eastAsia="CESI仿宋-GB2312" w:cs="CESI仿宋-GB2312"/>
          <w:color w:val="auto"/>
          <w:sz w:val="32"/>
          <w:szCs w:val="32"/>
          <w:lang w:eastAsia="zh-CN"/>
        </w:rPr>
        <w:t>当事人</w:t>
      </w:r>
      <w:r>
        <w:rPr>
          <w:rFonts w:hint="eastAsia" w:ascii="CESI仿宋-GB2312" w:hAnsi="CESI仿宋-GB2312" w:eastAsia="CESI仿宋-GB2312" w:cs="CESI仿宋-GB2312"/>
          <w:color w:val="auto"/>
          <w:sz w:val="32"/>
          <w:szCs w:val="32"/>
        </w:rPr>
        <w:t>提交的陈述申辩进行复核，</w:t>
      </w:r>
      <w:r>
        <w:rPr>
          <w:rFonts w:hint="eastAsia" w:ascii="CESI仿宋-GB2312" w:hAnsi="CESI仿宋-GB2312" w:eastAsia="CESI仿宋-GB2312" w:cs="CESI仿宋-GB2312"/>
          <w:color w:val="auto"/>
          <w:sz w:val="32"/>
          <w:szCs w:val="32"/>
          <w:lang w:eastAsia="zh-CN"/>
        </w:rPr>
        <w:t>复核意见如下：</w:t>
      </w:r>
    </w:p>
    <w:p>
      <w:pPr>
        <w:keepNext w:val="0"/>
        <w:keepLines w:val="0"/>
        <w:pageBreakBefore w:val="0"/>
        <w:widowControl w:val="0"/>
        <w:numPr>
          <w:ilvl w:val="0"/>
          <w:numId w:val="1"/>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经前期调查核实，河南省信用建设促进会对当事人的业务办理和报告权威性等方面具有一定的影响力，协会的要求对当事人签订垄断协议的行为起到部分推动影响。当事人“系在河南省信用建设促进会的要求下签订相关公约”的申辩意见与事实相符，本机关在行政处罚裁量阶段已经充分考虑并对当事人予以从轻处罚，无需重复采纳。</w:t>
      </w:r>
    </w:p>
    <w:p>
      <w:pPr>
        <w:keepNext w:val="0"/>
        <w:keepLines w:val="0"/>
        <w:pageBreakBefore w:val="0"/>
        <w:widowControl w:val="0"/>
        <w:numPr>
          <w:ilvl w:val="0"/>
          <w:numId w:val="1"/>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经前期调查核实，</w:t>
      </w:r>
      <w:r>
        <w:rPr>
          <w:rFonts w:hint="eastAsia" w:ascii="CESI仿宋-GB2312" w:hAnsi="CESI仿宋-GB2312" w:eastAsia="CESI仿宋-GB2312" w:cs="CESI仿宋-GB2312"/>
          <w:color w:val="auto"/>
          <w:sz w:val="32"/>
          <w:szCs w:val="32"/>
          <w:lang w:val="en-US" w:eastAsia="zh-CN"/>
        </w:rPr>
        <w:t>当事人2018年、2019年两次签订的《自律公约》，</w:t>
      </w:r>
      <w:r>
        <w:rPr>
          <w:rFonts w:hint="eastAsia" w:ascii="CESI仿宋-GB2312" w:hAnsi="CESI仿宋-GB2312" w:eastAsia="CESI仿宋-GB2312" w:cs="CESI仿宋-GB2312"/>
          <w:color w:val="auto"/>
          <w:sz w:val="32"/>
          <w:szCs w:val="32"/>
          <w:lang w:eastAsia="zh-CN"/>
        </w:rPr>
        <w:t>排除限制竞争的条款</w:t>
      </w:r>
      <w:r>
        <w:rPr>
          <w:rFonts w:hint="eastAsia" w:ascii="CESI仿宋-GB2312" w:hAnsi="CESI仿宋-GB2312" w:eastAsia="CESI仿宋-GB2312" w:cs="CESI仿宋-GB2312"/>
          <w:color w:val="auto"/>
          <w:sz w:val="32"/>
          <w:szCs w:val="32"/>
          <w:lang w:val="en-US" w:eastAsia="zh-CN"/>
        </w:rPr>
        <w:t>与当事人的签字盖章均在同一张A4纸上，且当事人在调查询问笔录中清晰复述了签订《自律公约》的过程和《自律公约》主要内容。当事人“</w:t>
      </w:r>
      <w:r>
        <w:rPr>
          <w:rFonts w:hint="eastAsia" w:ascii="CESI仿宋-GB2312" w:hAnsi="CESI仿宋-GB2312" w:eastAsia="CESI仿宋-GB2312" w:cs="CESI仿宋-GB2312"/>
          <w:color w:val="auto"/>
          <w:sz w:val="32"/>
          <w:szCs w:val="32"/>
          <w:lang w:eastAsia="zh-CN"/>
        </w:rPr>
        <w:t>对《自律公约》的具体内容不知情”</w:t>
      </w:r>
      <w:r>
        <w:rPr>
          <w:rFonts w:hint="eastAsia" w:ascii="CESI仿宋-GB2312" w:hAnsi="CESI仿宋-GB2312" w:eastAsia="CESI仿宋-GB2312" w:cs="CESI仿宋-GB2312"/>
          <w:color w:val="auto"/>
          <w:sz w:val="32"/>
          <w:szCs w:val="32"/>
          <w:lang w:val="en-US" w:eastAsia="zh-CN"/>
        </w:rPr>
        <w:t>的申辩意见与事实不符，本机关不予采纳。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三、经前期调查核实，参与签订《自律公约》的涉案企业均为信用评估服务行业的企业，是具有竞争关系的经营者，且《自律公约》含有</w:t>
      </w:r>
      <w:r>
        <w:rPr>
          <w:rFonts w:hint="eastAsia" w:ascii="CESI仿宋-GB2312" w:hAnsi="CESI仿宋-GB2312" w:eastAsia="CESI仿宋-GB2312" w:cs="CESI仿宋-GB2312"/>
          <w:color w:val="auto"/>
          <w:sz w:val="32"/>
          <w:szCs w:val="32"/>
        </w:rPr>
        <w:t>固定信用评估服务价格变动幅度</w:t>
      </w:r>
      <w:r>
        <w:rPr>
          <w:rFonts w:hint="eastAsia" w:ascii="CESI仿宋-GB2312" w:hAnsi="CESI仿宋-GB2312" w:eastAsia="CESI仿宋-GB2312" w:cs="CESI仿宋-GB2312"/>
          <w:color w:val="auto"/>
          <w:sz w:val="32"/>
          <w:szCs w:val="32"/>
          <w:lang w:eastAsia="zh-CN"/>
        </w:rPr>
        <w:t>的条款，排除、限制了市场竞争，属于违反《反垄断法》第十三条第一款“禁止具有竞争关系的经营者达成下列垄断协议：（一）固定或者变更商品价格”的垄断协议。</w:t>
      </w:r>
      <w:r>
        <w:rPr>
          <w:rFonts w:hint="eastAsia" w:ascii="CESI仿宋-GB2312" w:hAnsi="CESI仿宋-GB2312" w:eastAsia="CESI仿宋-GB2312" w:cs="CESI仿宋-GB2312"/>
          <w:color w:val="auto"/>
          <w:sz w:val="32"/>
          <w:szCs w:val="32"/>
          <w:lang w:val="en-US" w:eastAsia="zh-CN"/>
        </w:rPr>
        <w:t>当事人“</w:t>
      </w:r>
      <w:r>
        <w:rPr>
          <w:rFonts w:hint="eastAsia" w:ascii="CESI仿宋-GB2312" w:hAnsi="CESI仿宋-GB2312" w:eastAsia="CESI仿宋-GB2312" w:cs="CESI仿宋-GB2312"/>
          <w:color w:val="auto"/>
          <w:sz w:val="32"/>
          <w:szCs w:val="32"/>
          <w:lang w:eastAsia="zh-CN"/>
        </w:rPr>
        <w:t>2018年、2019年，当事人与相关经营者签订的《自律公约》不属于垄断协议”</w:t>
      </w:r>
      <w:r>
        <w:rPr>
          <w:rFonts w:hint="eastAsia" w:ascii="CESI仿宋-GB2312" w:hAnsi="CESI仿宋-GB2312" w:eastAsia="CESI仿宋-GB2312" w:cs="CESI仿宋-GB2312"/>
          <w:color w:val="auto"/>
          <w:sz w:val="32"/>
          <w:szCs w:val="32"/>
          <w:lang w:val="en-US" w:eastAsia="zh-CN"/>
        </w:rPr>
        <w:t>的申辩意见与事实不符，</w:t>
      </w:r>
      <w:r>
        <w:rPr>
          <w:rFonts w:hint="eastAsia" w:ascii="CESI仿宋-GB2312" w:hAnsi="CESI仿宋-GB2312" w:eastAsia="CESI仿宋-GB2312" w:cs="CESI仿宋-GB2312"/>
          <w:color w:val="auto"/>
          <w:sz w:val="32"/>
          <w:szCs w:val="32"/>
          <w:lang w:eastAsia="zh-CN"/>
        </w:rPr>
        <w:t>本机关</w:t>
      </w:r>
      <w:r>
        <w:rPr>
          <w:rFonts w:hint="eastAsia" w:ascii="CESI仿宋-GB2312" w:hAnsi="CESI仿宋-GB2312" w:eastAsia="CESI仿宋-GB2312" w:cs="CESI仿宋-GB2312"/>
          <w:color w:val="auto"/>
          <w:sz w:val="32"/>
          <w:szCs w:val="32"/>
          <w:lang w:val="en-US" w:eastAsia="zh-CN"/>
        </w:rPr>
        <w:t>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lang w:eastAsia="zh-CN"/>
        </w:rPr>
        <w:t>四、经前期调查核实及第三方会计师事务所审计，当事人与部分涉案企业存在按照上述垄断协议约定的收费标准进行收费的行为，实施了上述垄断协议，</w:t>
      </w:r>
      <w:r>
        <w:rPr>
          <w:rFonts w:hint="eastAsia" w:ascii="CESI仿宋-GB2312" w:hAnsi="CESI仿宋-GB2312" w:eastAsia="CESI仿宋-GB2312" w:cs="CESI仿宋-GB2312"/>
          <w:color w:val="auto"/>
          <w:sz w:val="32"/>
          <w:szCs w:val="32"/>
        </w:rPr>
        <w:t>排除、限制</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市场竞争，损害</w:t>
      </w:r>
      <w:r>
        <w:rPr>
          <w:rFonts w:hint="eastAsia" w:ascii="CESI仿宋-GB2312" w:hAnsi="CESI仿宋-GB2312" w:eastAsia="CESI仿宋-GB2312" w:cs="CESI仿宋-GB2312"/>
          <w:color w:val="auto"/>
          <w:sz w:val="32"/>
          <w:szCs w:val="32"/>
          <w:lang w:eastAsia="zh-CN"/>
        </w:rPr>
        <w:t>了</w:t>
      </w:r>
      <w:r>
        <w:rPr>
          <w:rFonts w:hint="eastAsia" w:ascii="CESI仿宋-GB2312" w:hAnsi="CESI仿宋-GB2312" w:eastAsia="CESI仿宋-GB2312" w:cs="CESI仿宋-GB2312"/>
          <w:color w:val="auto"/>
          <w:sz w:val="32"/>
          <w:szCs w:val="32"/>
        </w:rPr>
        <w:t>消费者利益和社会公共利益。</w:t>
      </w:r>
      <w:r>
        <w:rPr>
          <w:rFonts w:hint="eastAsia" w:ascii="CESI仿宋-GB2312" w:hAnsi="CESI仿宋-GB2312" w:eastAsia="CESI仿宋-GB2312" w:cs="CESI仿宋-GB2312"/>
          <w:color w:val="auto"/>
          <w:sz w:val="32"/>
          <w:szCs w:val="32"/>
          <w:lang w:val="en-US" w:eastAsia="zh-CN"/>
        </w:rPr>
        <w:t>当事人“</w:t>
      </w:r>
      <w:r>
        <w:rPr>
          <w:rFonts w:hint="eastAsia" w:ascii="CESI仿宋-GB2312" w:hAnsi="CESI仿宋-GB2312" w:eastAsia="CESI仿宋-GB2312" w:cs="CESI仿宋-GB2312"/>
          <w:color w:val="auto"/>
          <w:sz w:val="32"/>
          <w:szCs w:val="32"/>
          <w:lang w:eastAsia="zh-CN"/>
        </w:rPr>
        <w:t>与相关经营者签订的《自律公约》具有一定的合理性和正当性且未实际执行”</w:t>
      </w:r>
      <w:r>
        <w:rPr>
          <w:rFonts w:hint="eastAsia" w:ascii="CESI仿宋-GB2312" w:hAnsi="CESI仿宋-GB2312" w:eastAsia="CESI仿宋-GB2312" w:cs="CESI仿宋-GB2312"/>
          <w:color w:val="auto"/>
          <w:sz w:val="32"/>
          <w:szCs w:val="32"/>
          <w:lang w:val="en-US" w:eastAsia="zh-CN"/>
        </w:rPr>
        <w:t>的申辩意见无法律法规依据，与事实不符，</w:t>
      </w:r>
      <w:r>
        <w:rPr>
          <w:rFonts w:hint="eastAsia" w:ascii="CESI仿宋-GB2312" w:hAnsi="CESI仿宋-GB2312" w:eastAsia="CESI仿宋-GB2312" w:cs="CESI仿宋-GB2312"/>
          <w:color w:val="auto"/>
          <w:sz w:val="32"/>
          <w:szCs w:val="32"/>
          <w:lang w:eastAsia="zh-CN"/>
        </w:rPr>
        <w:t>本机关</w:t>
      </w:r>
      <w:r>
        <w:rPr>
          <w:rFonts w:hint="eastAsia" w:ascii="CESI仿宋-GB2312" w:hAnsi="CESI仿宋-GB2312" w:eastAsia="CESI仿宋-GB2312" w:cs="CESI仿宋-GB2312"/>
          <w:color w:val="auto"/>
          <w:sz w:val="32"/>
          <w:szCs w:val="32"/>
          <w:lang w:val="en-US" w:eastAsia="zh-CN"/>
        </w:rPr>
        <w:t>不予采纳。</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7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7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keepNext w:val="0"/>
        <w:keepLines w:val="0"/>
        <w:pageBreakBefore w:val="0"/>
        <w:widowControl w:val="0"/>
        <w:numPr>
          <w:ilvl w:val="0"/>
          <w:numId w:val="0"/>
        </w:numPr>
        <w:kinsoku/>
        <w:topLinePunct w:val="0"/>
        <w:autoSpaceDE/>
        <w:autoSpaceDN/>
        <w:bidi w:val="0"/>
        <w:spacing w:line="57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keepNext w:val="0"/>
        <w:keepLines w:val="0"/>
        <w:pageBreakBefore w:val="0"/>
        <w:widowControl w:val="0"/>
        <w:numPr>
          <w:ilvl w:val="0"/>
          <w:numId w:val="0"/>
        </w:numPr>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（二）处以其2019年度销售额509,135.00元1%的罚款，计5,091.35元（大写：伍仟零玖拾壹元叁角伍分）。</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EEBB0"/>
    <w:multiLevelType w:val="singleLevel"/>
    <w:tmpl w:val="EFFEEBB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2FFF2A65"/>
    <w:rsid w:val="34F9AE06"/>
    <w:rsid w:val="37FEC656"/>
    <w:rsid w:val="3AFE7134"/>
    <w:rsid w:val="3D2FF238"/>
    <w:rsid w:val="3DBAC390"/>
    <w:rsid w:val="3E6DB88C"/>
    <w:rsid w:val="3FBF9616"/>
    <w:rsid w:val="3FDF5ED7"/>
    <w:rsid w:val="3FDFFC52"/>
    <w:rsid w:val="3FE3D008"/>
    <w:rsid w:val="47FB1E98"/>
    <w:rsid w:val="4A1E7FBB"/>
    <w:rsid w:val="4EDE3F49"/>
    <w:rsid w:val="4F133CAA"/>
    <w:rsid w:val="57FFEF2A"/>
    <w:rsid w:val="5D2EF7E2"/>
    <w:rsid w:val="5EDDCD44"/>
    <w:rsid w:val="5FFFCEB7"/>
    <w:rsid w:val="6CED12DE"/>
    <w:rsid w:val="6D7FC72D"/>
    <w:rsid w:val="6ECF2F95"/>
    <w:rsid w:val="6FF428FD"/>
    <w:rsid w:val="6FFDA743"/>
    <w:rsid w:val="74FDF442"/>
    <w:rsid w:val="77D66569"/>
    <w:rsid w:val="785C4979"/>
    <w:rsid w:val="787B5ED6"/>
    <w:rsid w:val="7BFFCD4F"/>
    <w:rsid w:val="7CF3D184"/>
    <w:rsid w:val="7D7B3451"/>
    <w:rsid w:val="7D9EA6C0"/>
    <w:rsid w:val="7DB31976"/>
    <w:rsid w:val="7E7AFD5E"/>
    <w:rsid w:val="7EF20EAF"/>
    <w:rsid w:val="7EFF154A"/>
    <w:rsid w:val="7F3FB06B"/>
    <w:rsid w:val="7F7A3AA5"/>
    <w:rsid w:val="7F7F5421"/>
    <w:rsid w:val="7FE31791"/>
    <w:rsid w:val="7FEFE42F"/>
    <w:rsid w:val="7FF7E676"/>
    <w:rsid w:val="9E9BE743"/>
    <w:rsid w:val="AAF27701"/>
    <w:rsid w:val="AFCF0016"/>
    <w:rsid w:val="B63E7582"/>
    <w:rsid w:val="B6DEF4D1"/>
    <w:rsid w:val="B99FA0DC"/>
    <w:rsid w:val="B9BF6F7F"/>
    <w:rsid w:val="BDBF38FB"/>
    <w:rsid w:val="BFBB1CF4"/>
    <w:rsid w:val="BFFFB870"/>
    <w:rsid w:val="C7F70946"/>
    <w:rsid w:val="CB7FC04C"/>
    <w:rsid w:val="CD6F80DC"/>
    <w:rsid w:val="CFEDD1DE"/>
    <w:rsid w:val="D776A5F6"/>
    <w:rsid w:val="D7F75D87"/>
    <w:rsid w:val="DB5D02BC"/>
    <w:rsid w:val="DBFC4E10"/>
    <w:rsid w:val="DDEF818C"/>
    <w:rsid w:val="DE7F60B7"/>
    <w:rsid w:val="DF276895"/>
    <w:rsid w:val="E7559036"/>
    <w:rsid w:val="E7FE9B3D"/>
    <w:rsid w:val="E9FF0495"/>
    <w:rsid w:val="EECE8E69"/>
    <w:rsid w:val="EF7ED054"/>
    <w:rsid w:val="EFBF037F"/>
    <w:rsid w:val="EFD9A92B"/>
    <w:rsid w:val="EFF33050"/>
    <w:rsid w:val="F2F6FF49"/>
    <w:rsid w:val="F3BA6D41"/>
    <w:rsid w:val="F4F97D43"/>
    <w:rsid w:val="F6FF04BE"/>
    <w:rsid w:val="F797D069"/>
    <w:rsid w:val="F7B33185"/>
    <w:rsid w:val="F7FFAD2C"/>
    <w:rsid w:val="F7FFFDB5"/>
    <w:rsid w:val="FBF7C95E"/>
    <w:rsid w:val="FDE5211B"/>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0"/>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日期 Char"/>
    <w:basedOn w:val="9"/>
    <w:link w:val="3"/>
    <w:semiHidden/>
    <w:qFormat/>
    <w:uiPriority w:val="99"/>
    <w:rPr>
      <w:rFonts w:ascii="Calibri" w:hAnsi="Calibri"/>
      <w:kern w:val="2"/>
      <w:sz w:val="21"/>
      <w:szCs w:val="24"/>
    </w:rPr>
  </w:style>
  <w:style w:type="character" w:customStyle="1" w:styleId="11">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2021-02-08T11:36:00Z</dcterms:created>
  <dc:creator>admin</dc:creator>
  <cp:lastModifiedBy>huanghe</cp:lastModifiedBy>
  <cp:lastPrinted>2021-02-09T09:55:00Z</cp:lastPrinted>
  <dcterms:modified xsi:type="dcterms:W3CDTF">2022-07-13T17:53:24Z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