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9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9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90" w:lineRule="exact"/>
        <w:jc w:val="center"/>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2-24号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当事人：河南诚合信用评估有限公司</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主体资格证照名称：营业执照</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：91410105MA3X7WEC5C</w:t>
      </w:r>
    </w:p>
    <w:p>
      <w:pPr>
        <w:keepNext w:val="0"/>
        <w:keepLines w:val="0"/>
        <w:pageBreakBefore w:val="0"/>
        <w:widowControl w:val="0"/>
        <w:kinsoku/>
        <w:topLinePunct w:val="0"/>
        <w:autoSpaceDE/>
        <w:autoSpaceDN/>
        <w:bidi w:val="0"/>
        <w:spacing w:line="590" w:lineRule="exact"/>
        <w:ind w:left="1918" w:leftChars="304" w:hanging="1280" w:hangingChars="4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所：河南省郑州市中原区棉纺西路26号13号楼1单元18楼1806号</w:t>
      </w:r>
    </w:p>
    <w:p>
      <w:pPr>
        <w:keepNext w:val="0"/>
        <w:keepLines w:val="0"/>
        <w:pageBreakBefore w:val="0"/>
        <w:widowControl w:val="0"/>
        <w:kinsoku/>
        <w:topLinePunct w:val="0"/>
        <w:autoSpaceDE/>
        <w:autoSpaceDN/>
        <w:bidi w:val="0"/>
        <w:spacing w:line="590" w:lineRule="exact"/>
        <w:ind w:firstLine="640" w:firstLineChars="200"/>
        <w:textAlignment w:val="auto"/>
        <w:rPr>
          <w:rFonts w:hint="default" w:ascii="仿宋_GB2312" w:hAnsi="仿宋" w:eastAsia="仿宋_GB2312" w:cs="仿宋"/>
          <w:color w:val="auto"/>
          <w:sz w:val="32"/>
          <w:szCs w:val="32"/>
          <w:lang w:val="en"/>
        </w:rPr>
      </w:pPr>
      <w:r>
        <w:rPr>
          <w:rFonts w:hint="eastAsia" w:ascii="仿宋_GB2312" w:hAnsi="仿宋" w:eastAsia="仿宋_GB2312" w:cs="仿宋"/>
          <w:color w:val="auto"/>
          <w:sz w:val="32"/>
          <w:szCs w:val="32"/>
          <w:lang w:eastAsia="zh-CN"/>
        </w:rPr>
        <w:t>法定代表人：</w:t>
      </w:r>
      <w:r>
        <w:rPr>
          <w:rFonts w:hint="default" w:ascii="仿宋_GB2312" w:hAnsi="仿宋" w:eastAsia="仿宋_GB2312" w:cs="仿宋"/>
          <w:color w:val="auto"/>
          <w:sz w:val="32"/>
          <w:szCs w:val="32"/>
          <w:lang w:val="en" w:eastAsia="zh-CN"/>
        </w:rPr>
        <w:t>***</w:t>
      </w:r>
    </w:p>
    <w:p>
      <w:pPr>
        <w:keepNext w:val="0"/>
        <w:keepLines w:val="0"/>
        <w:pageBreakBefore w:val="0"/>
        <w:widowControl w:val="0"/>
        <w:kinsoku/>
        <w:topLinePunct w:val="0"/>
        <w:autoSpaceDE/>
        <w:autoSpaceDN/>
        <w:bidi w:val="0"/>
        <w:spacing w:line="59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业务范围：企业资质服务，企业信用评估服务，企业管理咨询等。</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25</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w:t>
      </w:r>
      <w:r>
        <w:rPr>
          <w:rFonts w:hint="eastAsia" w:ascii="仿宋_GB2312" w:hAnsi="仿宋" w:eastAsia="仿宋_GB2312" w:cs="仿宋"/>
          <w:color w:val="auto"/>
          <w:sz w:val="32"/>
          <w:szCs w:val="32"/>
          <w:lang w:val="en-US" w:eastAsia="zh-CN"/>
        </w:rPr>
        <w:t>24</w:t>
      </w:r>
      <w:r>
        <w:rPr>
          <w:rFonts w:hint="eastAsia" w:ascii="仿宋_GB2312" w:hAnsi="仿宋" w:eastAsia="仿宋_GB2312" w:cs="仿宋"/>
          <w:color w:val="auto"/>
          <w:sz w:val="32"/>
          <w:szCs w:val="32"/>
        </w:rPr>
        <w:t>号），告知了当事人拟作出行政处罚的事实、理由、依据和处罚内容，并告知当事人享有陈述、申辩的权利。当事人在规定期限内未向本机关提出陈述、申辩意见</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经查，2019年期间，当事人与中岂认证中心有限公司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河南中泰信用评价有限公司</w:t>
      </w:r>
      <w:r>
        <w:rPr>
          <w:rFonts w:hint="eastAsia" w:ascii="仿宋_GB2312" w:hAnsi="仿宋" w:eastAsia="仿宋_GB2312" w:cs="仿宋"/>
          <w:color w:val="auto"/>
          <w:sz w:val="32"/>
          <w:szCs w:val="32"/>
          <w:lang w:eastAsia="zh-CN"/>
        </w:rPr>
        <w:t>等</w:t>
      </w:r>
      <w:r>
        <w:rPr>
          <w:rFonts w:hint="eastAsia" w:ascii="仿宋_GB2312" w:hAnsi="仿宋" w:eastAsia="仿宋_GB2312" w:cs="仿宋"/>
          <w:color w:val="auto"/>
          <w:sz w:val="32"/>
          <w:szCs w:val="32"/>
        </w:rPr>
        <w:t>具有竞争关系的经营者达成并实施</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2019年6月15日，河南省信用建设促进会组织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43家</w:t>
      </w:r>
      <w:r>
        <w:rPr>
          <w:rFonts w:hint="eastAsia" w:ascii="仿宋_GB2312" w:hAnsi="仿宋" w:eastAsia="仿宋_GB2312" w:cs="仿宋"/>
          <w:color w:val="auto"/>
          <w:sz w:val="32"/>
          <w:szCs w:val="32"/>
        </w:rPr>
        <w:t>涉案企业召开第三届三次理事会，会上讨论并通过了《河南省社会信用服务机构行业自律公约》，</w:t>
      </w:r>
      <w:r>
        <w:rPr>
          <w:rFonts w:hint="eastAsia" w:ascii="仿宋_GB2312" w:hAnsi="Times New Roman" w:eastAsia="仿宋_GB2312"/>
          <w:color w:val="auto"/>
          <w:sz w:val="32"/>
          <w:szCs w:val="32"/>
        </w:rPr>
        <w:t>该公约约定信用报告服务费标准为：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进行信用评估时，按照不低于0.4万元的标准进行收费；对资产总额2001万元～10000万元（含10000万）的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进行信用评估时，按照不低于0.6万元的标准进行收费；对资产总额10000万元以上的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进行信用评估时，按照不低于0.8万元，但最高不得超过1.5万元的标准进行收费。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经</w:t>
      </w:r>
      <w:r>
        <w:rPr>
          <w:rFonts w:hint="eastAsia" w:ascii="仿宋_GB2312" w:hAnsi="仿宋" w:eastAsia="仿宋_GB2312" w:cs="仿宋"/>
          <w:color w:val="auto"/>
          <w:sz w:val="32"/>
          <w:szCs w:val="32"/>
          <w:lang w:eastAsia="zh-CN"/>
        </w:rPr>
        <w:t>调查核实和******</w:t>
      </w:r>
      <w:r>
        <w:rPr>
          <w:rFonts w:hint="eastAsia" w:ascii="仿宋_GB2312" w:hAnsi="仿宋" w:eastAsia="仿宋_GB2312" w:cs="仿宋"/>
          <w:color w:val="auto"/>
          <w:sz w:val="32"/>
          <w:szCs w:val="32"/>
        </w:rPr>
        <w:t>会计师事务所审计，发现当事人</w:t>
      </w:r>
      <w:r>
        <w:rPr>
          <w:rFonts w:hint="eastAsia" w:ascii="仿宋_GB2312" w:hAnsi="仿宋" w:eastAsia="仿宋_GB2312" w:cs="仿宋"/>
          <w:color w:val="auto"/>
          <w:sz w:val="32"/>
          <w:szCs w:val="32"/>
          <w:lang w:eastAsia="zh-CN"/>
        </w:rPr>
        <w:t>存在</w:t>
      </w:r>
      <w:r>
        <w:rPr>
          <w:rFonts w:hint="eastAsia"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上述垄断协议</w:t>
      </w:r>
      <w:r>
        <w:rPr>
          <w:rFonts w:hint="eastAsia" w:ascii="仿宋_GB2312" w:hAnsi="仿宋" w:eastAsia="仿宋_GB2312" w:cs="仿宋"/>
          <w:color w:val="auto"/>
          <w:sz w:val="32"/>
          <w:szCs w:val="32"/>
        </w:rPr>
        <w:t>约定的收费标准进行收费</w:t>
      </w:r>
      <w:r>
        <w:rPr>
          <w:rFonts w:hint="eastAsia" w:ascii="仿宋_GB2312" w:hAnsi="仿宋" w:eastAsia="仿宋_GB2312" w:cs="仿宋"/>
          <w:color w:val="auto"/>
          <w:sz w:val="32"/>
          <w:szCs w:val="32"/>
          <w:lang w:eastAsia="zh-CN"/>
        </w:rPr>
        <w:t>的行为，实施了上述垄断协议</w:t>
      </w:r>
      <w:r>
        <w:rPr>
          <w:rFonts w:hint="eastAsia" w:ascii="仿宋_GB2312" w:hAnsi="仿宋" w:eastAsia="仿宋_GB2312" w:cs="仿宋"/>
          <w:color w:val="auto"/>
          <w:sz w:val="32"/>
          <w:szCs w:val="32"/>
        </w:rPr>
        <w:t>。</w:t>
      </w:r>
    </w:p>
    <w:p>
      <w:pPr>
        <w:spacing w:line="560" w:lineRule="exact"/>
        <w:ind w:firstLine="640" w:firstLineChars="200"/>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此外，经</w:t>
      </w:r>
      <w:bookmarkStart w:id="0" w:name="_GoBack"/>
      <w:bookmarkEnd w:id="0"/>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会计师事务所审计，当事人2019年</w:t>
      </w:r>
      <w:r>
        <w:rPr>
          <w:rFonts w:hint="eastAsia" w:ascii="仿宋_GB2312" w:hAnsi="仿宋" w:eastAsia="仿宋_GB2312" w:cs="仿宋"/>
          <w:color w:val="auto"/>
          <w:sz w:val="32"/>
          <w:szCs w:val="32"/>
          <w:lang w:eastAsia="zh-CN"/>
        </w:rPr>
        <w:t>销售</w:t>
      </w:r>
      <w:r>
        <w:rPr>
          <w:rFonts w:hint="eastAsia" w:ascii="仿宋_GB2312" w:hAnsi="仿宋" w:eastAsia="仿宋_GB2312" w:cs="仿宋"/>
          <w:color w:val="auto"/>
          <w:sz w:val="32"/>
          <w:szCs w:val="32"/>
        </w:rPr>
        <w:t>总额为385,407.71</w:t>
      </w:r>
      <w:r>
        <w:rPr>
          <w:rFonts w:hint="eastAsia" w:ascii="CESI仿宋-GB2312" w:hAnsi="CESI仿宋-GB2312" w:eastAsia="CESI仿宋-GB2312" w:cs="CESI仿宋-GB2312"/>
          <w:b w:val="0"/>
          <w:bCs w:val="0"/>
          <w:color w:val="auto"/>
          <w:sz w:val="32"/>
          <w:szCs w:val="32"/>
          <w:lang w:val="en-US" w:eastAsia="zh-CN"/>
        </w:rPr>
        <w:t>元</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证据一：</w:t>
      </w:r>
      <w:r>
        <w:rPr>
          <w:rFonts w:hint="eastAsia" w:ascii="仿宋_GB2312" w:hAnsi="仿宋_GB2312" w:eastAsia="仿宋_GB2312" w:cs="仿宋_GB2312"/>
          <w:color w:val="auto"/>
          <w:sz w:val="32"/>
          <w:szCs w:val="32"/>
          <w:lang w:eastAsia="zh-CN"/>
        </w:rPr>
        <w:t>当事人</w:t>
      </w:r>
      <w:r>
        <w:rPr>
          <w:rFonts w:hint="eastAsia" w:ascii="仿宋_GB2312" w:hAnsi="仿宋_GB2312" w:eastAsia="仿宋_GB2312" w:cs="仿宋_GB2312"/>
          <w:color w:val="auto"/>
          <w:sz w:val="32"/>
          <w:szCs w:val="32"/>
        </w:rPr>
        <w:t>营业执照复印件、法人身份证复印件、河南省信用建设促进会会员单位名单等，证明当事人的主体资格。</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证据二：</w:t>
      </w:r>
      <w:r>
        <w:rPr>
          <w:rFonts w:hint="eastAsia" w:ascii="仿宋_GB2312" w:hAnsi="仿宋_GB2312" w:eastAsia="仿宋_GB2312" w:cs="仿宋_GB2312"/>
          <w:color w:val="auto"/>
          <w:sz w:val="32"/>
          <w:szCs w:val="32"/>
        </w:rPr>
        <w:t>2019年《河南省信用服务机构信用评估报告收费自律公约》复印件、询问笔录、情况说明等，证明当事人</w:t>
      </w:r>
      <w:r>
        <w:rPr>
          <w:rFonts w:hint="eastAsia" w:ascii="仿宋_GB2312" w:hAnsi="仿宋_GB2312" w:eastAsia="仿宋_GB2312" w:cs="仿宋_GB2312"/>
          <w:color w:val="auto"/>
          <w:sz w:val="32"/>
          <w:szCs w:val="32"/>
          <w:lang w:eastAsia="zh-CN"/>
        </w:rPr>
        <w:t>与具有竞争关系的经营者达成</w:t>
      </w:r>
      <w:r>
        <w:rPr>
          <w:rFonts w:hint="eastAsia" w:ascii="仿宋_GB2312" w:hAnsi="仿宋_GB2312" w:eastAsia="仿宋_GB2312" w:cs="仿宋_GB2312"/>
          <w:color w:val="auto"/>
          <w:sz w:val="32"/>
          <w:szCs w:val="32"/>
        </w:rPr>
        <w:t>了垄断协议。</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证据三：</w:t>
      </w:r>
      <w:r>
        <w:rPr>
          <w:rFonts w:hint="eastAsia" w:ascii="仿宋_GB2312" w:hAnsi="仿宋_GB2312" w:eastAsia="仿宋_GB2312" w:cs="仿宋_GB2312"/>
          <w:color w:val="auto"/>
          <w:sz w:val="32"/>
          <w:szCs w:val="32"/>
        </w:rPr>
        <w:t>当事人2019年期间业务台账、财务凭证复印件、向客户出具的《信用等级证书》复印件、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会计师事务所出具的《专项审核报告》、询问笔录等，证明当事人实施了</w:t>
      </w:r>
      <w:r>
        <w:rPr>
          <w:rFonts w:hint="eastAsia" w:ascii="仿宋_GB2312" w:hAnsi="仿宋_GB2312" w:eastAsia="仿宋_GB2312" w:cs="仿宋_GB2312"/>
          <w:color w:val="auto"/>
          <w:sz w:val="32"/>
          <w:szCs w:val="32"/>
          <w:lang w:eastAsia="zh-CN"/>
        </w:rPr>
        <w:t>上述</w:t>
      </w:r>
      <w:r>
        <w:rPr>
          <w:rFonts w:hint="eastAsia" w:ascii="仿宋_GB2312" w:hAnsi="仿宋_GB2312" w:eastAsia="仿宋_GB2312" w:cs="仿宋_GB2312"/>
          <w:color w:val="auto"/>
          <w:sz w:val="32"/>
          <w:szCs w:val="32"/>
        </w:rPr>
        <w:t>垄断协议。</w:t>
      </w:r>
    </w:p>
    <w:p>
      <w:pPr>
        <w:spacing w:line="560" w:lineRule="exact"/>
        <w:ind w:firstLine="642" w:firstLineChars="200"/>
        <w:rPr>
          <w:rFonts w:ascii="仿宋_GB2312" w:hAnsi="仿宋" w:eastAsia="仿宋_GB2312" w:cs="仿宋"/>
          <w:color w:val="auto"/>
          <w:sz w:val="32"/>
          <w:szCs w:val="32"/>
        </w:rPr>
      </w:pPr>
      <w:r>
        <w:rPr>
          <w:rFonts w:hint="eastAsia" w:ascii="仿宋_GB2312" w:hAnsi="仿宋_GB2312" w:eastAsia="仿宋_GB2312" w:cs="仿宋_GB2312"/>
          <w:b/>
          <w:bCs/>
          <w:color w:val="auto"/>
          <w:sz w:val="32"/>
          <w:szCs w:val="32"/>
        </w:rPr>
        <w:t>证据</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当事人2019年资产负债表、利润表、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会计师事务所出具的《专项审核报告》等，证明当事人2019年的</w:t>
      </w:r>
      <w:r>
        <w:rPr>
          <w:rFonts w:hint="eastAsia" w:ascii="仿宋_GB2312" w:hAnsi="仿宋_GB2312" w:eastAsia="仿宋_GB2312" w:cs="仿宋_GB2312"/>
          <w:color w:val="auto"/>
          <w:sz w:val="32"/>
          <w:szCs w:val="32"/>
          <w:lang w:eastAsia="zh-CN"/>
        </w:rPr>
        <w:t>销售</w:t>
      </w:r>
      <w:r>
        <w:rPr>
          <w:rFonts w:hint="eastAsia" w:ascii="仿宋_GB2312" w:hAnsi="仿宋_GB2312" w:eastAsia="仿宋_GB2312" w:cs="仿宋_GB2312"/>
          <w:color w:val="auto"/>
          <w:sz w:val="32"/>
          <w:szCs w:val="32"/>
        </w:rPr>
        <w:t>总额。</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通过与具有竞争关系的经营者共同参加会议并签订自律公约的方式，</w:t>
      </w:r>
      <w:r>
        <w:rPr>
          <w:rFonts w:hint="eastAsia" w:ascii="仿宋_GB2312" w:hAnsi="Times New Roman" w:eastAsia="仿宋_GB2312"/>
          <w:color w:val="auto"/>
          <w:sz w:val="32"/>
          <w:szCs w:val="32"/>
        </w:rPr>
        <w:t>固定</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达成了含有排除、限制竞争内容的垄断协议，并在之后的经营活动中实施了上述垄断协议，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w:t>
      </w:r>
      <w:r>
        <w:rPr>
          <w:rFonts w:hint="eastAsia" w:ascii="仿宋_GB2312" w:hAnsi="Times New Roman" w:eastAsia="仿宋_GB2312"/>
          <w:color w:val="auto"/>
          <w:sz w:val="32"/>
          <w:szCs w:val="32"/>
          <w:lang w:eastAsia="zh-CN"/>
        </w:rPr>
        <w:t>十三</w:t>
      </w:r>
      <w:r>
        <w:rPr>
          <w:rFonts w:hint="eastAsia" w:ascii="仿宋_GB2312" w:hAnsi="Times New Roman" w:eastAsia="仿宋_GB2312"/>
          <w:color w:val="auto"/>
          <w:sz w:val="32"/>
          <w:szCs w:val="32"/>
        </w:rPr>
        <w:t>条</w:t>
      </w:r>
      <w:r>
        <w:rPr>
          <w:rFonts w:hint="eastAsia" w:ascii="仿宋_GB2312" w:hAnsi="Times New Roman" w:eastAsia="仿宋_GB2312"/>
          <w:color w:val="auto"/>
          <w:sz w:val="32"/>
          <w:szCs w:val="32"/>
          <w:lang w:eastAsia="zh-CN"/>
        </w:rPr>
        <w:t>第一款“禁止具有竞争关系的经营者达成下列垄断协议：（一）固定或者变更商品价格”</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规定，构成“达成并实施垄断协议”的违法行为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9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仿宋_GB2312" w:hAnsi="仿宋" w:eastAsia="仿宋_GB2312" w:cs="仿宋"/>
          <w:color w:val="auto"/>
          <w:sz w:val="32"/>
          <w:szCs w:val="32"/>
        </w:rPr>
        <w:t>当事人</w:t>
      </w:r>
      <w:r>
        <w:rPr>
          <w:rFonts w:hint="eastAsia" w:ascii="CESI仿宋-GB2312" w:hAnsi="CESI仿宋-GB2312" w:eastAsia="CESI仿宋-GB2312" w:cs="CESI仿宋-GB2312"/>
          <w:color w:val="auto"/>
          <w:sz w:val="32"/>
          <w:szCs w:val="32"/>
          <w:lang w:eastAsia="zh-CN"/>
        </w:rPr>
        <w:t>签订垄断协议的行为受到河南省信用建设促进会部分影响，</w:t>
      </w:r>
      <w:r>
        <w:rPr>
          <w:rFonts w:ascii="Times New Roman" w:hAnsi="Times New Roman" w:eastAsia="仿宋_GB2312"/>
          <w:color w:val="auto"/>
          <w:sz w:val="32"/>
          <w:szCs w:val="32"/>
        </w:rPr>
        <w:t>在立案调查前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仿宋_GB2312" w:hAnsi="仿宋" w:eastAsia="仿宋_GB2312" w:cs="仿宋"/>
          <w:color w:val="auto"/>
          <w:sz w:val="32"/>
          <w:szCs w:val="32"/>
          <w:lang w:val="en-US" w:eastAsia="zh-CN"/>
        </w:rPr>
        <w:t>违法行为持续时间较短，</w:t>
      </w:r>
      <w:r>
        <w:rPr>
          <w:rFonts w:ascii="Times New Roman" w:hAnsi="Times New Roman" w:eastAsia="仿宋_GB2312"/>
          <w:color w:val="auto"/>
          <w:sz w:val="32"/>
          <w:szCs w:val="32"/>
        </w:rPr>
        <w:t>社会危害</w:t>
      </w:r>
      <w:r>
        <w:rPr>
          <w:rFonts w:hint="eastAsia" w:ascii="Times New Roman" w:hAnsi="Times New Roman" w:eastAsia="仿宋_GB2312"/>
          <w:color w:val="auto"/>
          <w:sz w:val="32"/>
          <w:szCs w:val="32"/>
          <w:lang w:eastAsia="zh-CN"/>
        </w:rPr>
        <w:t>较小</w:t>
      </w:r>
      <w:r>
        <w:rPr>
          <w:rFonts w:hint="eastAsia" w:ascii="仿宋_GB2312" w:hAnsi="仿宋" w:eastAsia="仿宋_GB2312" w:cs="仿宋"/>
          <w:color w:val="auto"/>
          <w:sz w:val="32"/>
          <w:szCs w:val="32"/>
        </w:rPr>
        <w:t>。</w:t>
      </w:r>
      <w:r>
        <w:rPr>
          <w:rFonts w:hint="eastAsia" w:ascii="仿宋_GB2312" w:hAnsi="Times New Roman" w:eastAsia="仿宋_GB2312"/>
          <w:color w:val="auto"/>
          <w:sz w:val="32"/>
          <w:szCs w:val="32"/>
        </w:rPr>
        <w:t>在启动反垄断调查后，当事人积极配合，</w:t>
      </w:r>
      <w:r>
        <w:rPr>
          <w:rFonts w:hint="eastAsia" w:ascii="仿宋_GB2312" w:hAnsi="Times New Roman" w:eastAsia="仿宋_GB2312"/>
          <w:color w:val="auto"/>
          <w:sz w:val="32"/>
          <w:szCs w:val="32"/>
          <w:lang w:eastAsia="zh-CN"/>
        </w:rPr>
        <w:t>如实陈述违法事实并主动提供证据材料</w:t>
      </w:r>
      <w:r>
        <w:rPr>
          <w:rFonts w:hint="eastAsia" w:ascii="仿宋_GB2312" w:hAnsi="Times New Roman" w:eastAsia="仿宋_GB2312"/>
          <w:color w:val="auto"/>
          <w:sz w:val="32"/>
          <w:szCs w:val="32"/>
        </w:rPr>
        <w:t>。</w:t>
      </w:r>
      <w:r>
        <w:rPr>
          <w:rFonts w:hint="eastAsia" w:ascii="Times New Roman" w:hAnsi="Times New Roman" w:eastAsia="仿宋_GB2312"/>
          <w:color w:val="auto"/>
          <w:sz w:val="32"/>
          <w:szCs w:val="32"/>
          <w:lang w:eastAsia="zh-CN"/>
        </w:rPr>
        <w:t>综合上述因素和落实“六稳”“六保”政策，维护行业的稳定和健康发展，</w:t>
      </w:r>
      <w:r>
        <w:rPr>
          <w:rFonts w:hint="eastAsia" w:ascii="仿宋_GB2312" w:hAnsi="Times New Roman" w:eastAsia="仿宋_GB2312"/>
          <w:color w:val="auto"/>
          <w:sz w:val="32"/>
          <w:szCs w:val="32"/>
        </w:rPr>
        <w:t>依据《反垄断法》第四十六条</w:t>
      </w:r>
      <w:r>
        <w:rPr>
          <w:rFonts w:hint="eastAsia" w:ascii="仿宋_GB2312" w:hAnsi="Times New Roman" w:eastAsia="仿宋_GB2312"/>
          <w:color w:val="auto"/>
          <w:sz w:val="32"/>
          <w:szCs w:val="32"/>
          <w:lang w:eastAsia="zh-CN"/>
        </w:rPr>
        <w:t>第一款、第四十九条以及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本机关决定对当事人做出以下行政处罚</w:t>
      </w:r>
      <w:r>
        <w:rPr>
          <w:rFonts w:hint="eastAsia" w:ascii="仿宋_GB2312" w:hAnsi="仿宋" w:eastAsia="仿宋_GB2312" w:cs="仿宋"/>
          <w:color w:val="auto"/>
          <w:sz w:val="32"/>
          <w:szCs w:val="32"/>
        </w:rPr>
        <w:t>：</w:t>
      </w:r>
    </w:p>
    <w:p>
      <w:pPr>
        <w:numPr>
          <w:ilvl w:val="0"/>
          <w:numId w:val="0"/>
        </w:numPr>
        <w:spacing w:line="560" w:lineRule="exact"/>
        <w:ind w:firstLine="640" w:firstLineChars="200"/>
        <w:rPr>
          <w:rFonts w:hint="eastAsia" w:ascii="CESI仿宋-GB2312" w:hAnsi="CESI仿宋-GB2312" w:eastAsia="CESI仿宋-GB2312" w:cs="CESI仿宋-GB2312"/>
          <w:b w:val="0"/>
          <w:bCs w:val="0"/>
          <w:color w:val="auto"/>
          <w:sz w:val="32"/>
          <w:szCs w:val="32"/>
          <w:lang w:val="en-US" w:eastAsia="zh-CN"/>
        </w:rPr>
      </w:pPr>
      <w:r>
        <w:rPr>
          <w:rFonts w:hint="eastAsia" w:ascii="宋体" w:hAnsi="宋体" w:eastAsia="仿宋_GB2312" w:cs="仿宋_GB2312"/>
          <w:b w:val="0"/>
          <w:bCs w:val="0"/>
          <w:color w:val="auto"/>
          <w:sz w:val="32"/>
          <w:szCs w:val="32"/>
          <w:highlight w:val="none"/>
          <w:u w:val="none"/>
          <w:lang w:val="en-US" w:eastAsia="zh-CN"/>
        </w:rPr>
        <w:t>（一）</w:t>
      </w:r>
      <w:r>
        <w:rPr>
          <w:rFonts w:hint="eastAsia" w:ascii="仿宋_GB2312" w:hAnsi="Times New Roman" w:eastAsia="仿宋_GB2312"/>
          <w:b w:val="0"/>
          <w:bCs w:val="0"/>
          <w:color w:val="auto"/>
          <w:sz w:val="32"/>
          <w:szCs w:val="32"/>
          <w:lang w:val="en-US" w:eastAsia="zh-CN"/>
        </w:rPr>
        <w:t>责令停止违法行为；</w:t>
      </w:r>
    </w:p>
    <w:p>
      <w:pPr>
        <w:numPr>
          <w:ilvl w:val="0"/>
          <w:numId w:val="0"/>
        </w:numPr>
        <w:spacing w:line="560" w:lineRule="exact"/>
        <w:ind w:firstLine="640" w:firstLineChars="200"/>
        <w:rPr>
          <w:rFonts w:hint="eastAsia" w:ascii="仿宋_GB2312" w:hAnsi="仿宋" w:eastAsia="仿宋_GB2312" w:cs="仿宋"/>
          <w:color w:val="auto"/>
          <w:sz w:val="32"/>
          <w:szCs w:val="32"/>
        </w:rPr>
      </w:pPr>
      <w:r>
        <w:rPr>
          <w:rFonts w:hint="eastAsia" w:ascii="CESI仿宋-GB2312" w:hAnsi="CESI仿宋-GB2312" w:eastAsia="CESI仿宋-GB2312" w:cs="CESI仿宋-GB2312"/>
          <w:b w:val="0"/>
          <w:bCs w:val="0"/>
          <w:color w:val="auto"/>
          <w:sz w:val="32"/>
          <w:szCs w:val="32"/>
          <w:lang w:val="en-US" w:eastAsia="zh-CN"/>
        </w:rPr>
        <w:t>（二）处以其2019年度销售额385,407.71元1%的罚款，计3,854.08元（大写：叁仟捌佰伍拾肆元零角捌分）。</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7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7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7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7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7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70" w:lineRule="exac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wordWrap w:val="0"/>
        <w:topLinePunct w:val="0"/>
        <w:autoSpaceDE/>
        <w:autoSpaceDN/>
        <w:bidi w:val="0"/>
        <w:adjustRightInd w:val="0"/>
        <w:snapToGrid w:val="0"/>
        <w:spacing w:line="57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7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topLinePunct w:val="0"/>
        <w:autoSpaceDE/>
        <w:autoSpaceDN/>
        <w:bidi w:val="0"/>
        <w:adjustRightInd w:val="0"/>
        <w:snapToGrid w:val="0"/>
        <w:spacing w:line="570" w:lineRule="exact"/>
        <w:ind w:firstLine="624"/>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70" w:lineRule="exact"/>
        <w:ind w:firstLine="624"/>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（市场监督管理部门将依法向社会公开行政处罚决定信息）</w:t>
      </w:r>
    </w:p>
    <w:p>
      <w:pPr>
        <w:keepNext w:val="0"/>
        <w:keepLines w:val="0"/>
        <w:pageBreakBefore w:val="0"/>
        <w:widowControl w:val="0"/>
        <w:pBdr>
          <w:bottom w:val="single" w:color="auto" w:sz="4" w:space="0"/>
        </w:pBdr>
        <w:kinsoku/>
        <w:topLinePunct w:val="0"/>
        <w:autoSpaceDE/>
        <w:autoSpaceDN/>
        <w:bidi w:val="0"/>
        <w:adjustRightInd w:val="0"/>
        <w:snapToGrid w:val="0"/>
        <w:spacing w:line="57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7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7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本文书一式三份，一份送达当事人，两份归档。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11BB740B"/>
    <w:rsid w:val="17DF0CE4"/>
    <w:rsid w:val="19E7CC56"/>
    <w:rsid w:val="2FFF2A65"/>
    <w:rsid w:val="34F9AE06"/>
    <w:rsid w:val="37FEC656"/>
    <w:rsid w:val="3AFE7134"/>
    <w:rsid w:val="3D2FF238"/>
    <w:rsid w:val="3DBAC390"/>
    <w:rsid w:val="3FBF9616"/>
    <w:rsid w:val="3FDF5ED7"/>
    <w:rsid w:val="3FDFFC52"/>
    <w:rsid w:val="3FE3D008"/>
    <w:rsid w:val="47FB1E98"/>
    <w:rsid w:val="4A1E7FBB"/>
    <w:rsid w:val="4F133CAA"/>
    <w:rsid w:val="57FFEF2A"/>
    <w:rsid w:val="5D2EF7E2"/>
    <w:rsid w:val="5EDDCD44"/>
    <w:rsid w:val="5F5F614A"/>
    <w:rsid w:val="5FC6A04F"/>
    <w:rsid w:val="5FFFCEB7"/>
    <w:rsid w:val="6CED12DE"/>
    <w:rsid w:val="6D7FC72D"/>
    <w:rsid w:val="6ECF2F95"/>
    <w:rsid w:val="6EFA7B43"/>
    <w:rsid w:val="6FF428FD"/>
    <w:rsid w:val="6FFDA743"/>
    <w:rsid w:val="727DE391"/>
    <w:rsid w:val="74FDF442"/>
    <w:rsid w:val="75CE1D57"/>
    <w:rsid w:val="77D66569"/>
    <w:rsid w:val="785C4979"/>
    <w:rsid w:val="787B5ED6"/>
    <w:rsid w:val="79BBD25A"/>
    <w:rsid w:val="7BBAC2CD"/>
    <w:rsid w:val="7BFD7279"/>
    <w:rsid w:val="7BFFCD4F"/>
    <w:rsid w:val="7CF3D184"/>
    <w:rsid w:val="7D7B3451"/>
    <w:rsid w:val="7D9EA6C0"/>
    <w:rsid w:val="7DB31976"/>
    <w:rsid w:val="7E7AFD5E"/>
    <w:rsid w:val="7ED78BB3"/>
    <w:rsid w:val="7EF20EAF"/>
    <w:rsid w:val="7EFF154A"/>
    <w:rsid w:val="7F3FB06B"/>
    <w:rsid w:val="7F7A3AA5"/>
    <w:rsid w:val="7F7F2E27"/>
    <w:rsid w:val="7F7F5421"/>
    <w:rsid w:val="7FBF4C29"/>
    <w:rsid w:val="7FBFAB4F"/>
    <w:rsid w:val="7FF7E676"/>
    <w:rsid w:val="7FFF2BDF"/>
    <w:rsid w:val="9E9BE743"/>
    <w:rsid w:val="AAF27701"/>
    <w:rsid w:val="AFCF0016"/>
    <w:rsid w:val="AFDD82D8"/>
    <w:rsid w:val="B63E7582"/>
    <w:rsid w:val="B6DEF4D1"/>
    <w:rsid w:val="B6E798A7"/>
    <w:rsid w:val="B99FA0DC"/>
    <w:rsid w:val="B9BF6F7F"/>
    <w:rsid w:val="BDBF38FB"/>
    <w:rsid w:val="BFBB1CF4"/>
    <w:rsid w:val="BFFFB870"/>
    <w:rsid w:val="C7F70946"/>
    <w:rsid w:val="CB7FC04C"/>
    <w:rsid w:val="CD6F80DC"/>
    <w:rsid w:val="CFEDD1DE"/>
    <w:rsid w:val="D776A5F6"/>
    <w:rsid w:val="D7F75D87"/>
    <w:rsid w:val="DACD7801"/>
    <w:rsid w:val="DB5D02BC"/>
    <w:rsid w:val="DBFC4E10"/>
    <w:rsid w:val="DDEF818C"/>
    <w:rsid w:val="DE7F60B7"/>
    <w:rsid w:val="DF276895"/>
    <w:rsid w:val="DFEF48E5"/>
    <w:rsid w:val="E7559036"/>
    <w:rsid w:val="E7FE9B3D"/>
    <w:rsid w:val="E9FF0495"/>
    <w:rsid w:val="EECE8E69"/>
    <w:rsid w:val="EF7ED054"/>
    <w:rsid w:val="EFBF037F"/>
    <w:rsid w:val="EFD9A92B"/>
    <w:rsid w:val="EFF33050"/>
    <w:rsid w:val="F0ED8588"/>
    <w:rsid w:val="F2F6FF49"/>
    <w:rsid w:val="F3BA6D41"/>
    <w:rsid w:val="F4F97D43"/>
    <w:rsid w:val="F6FF04BE"/>
    <w:rsid w:val="F797D069"/>
    <w:rsid w:val="F7B33185"/>
    <w:rsid w:val="F7FFAD2C"/>
    <w:rsid w:val="F7FFFDB5"/>
    <w:rsid w:val="FDE5211B"/>
    <w:rsid w:val="FDEDBB5A"/>
    <w:rsid w:val="FDEDD4CD"/>
    <w:rsid w:val="FDFDED32"/>
    <w:rsid w:val="FDFDF18E"/>
    <w:rsid w:val="FEF5C2DF"/>
    <w:rsid w:val="FF2B2812"/>
    <w:rsid w:val="FF5AE4EE"/>
    <w:rsid w:val="FF77F9DE"/>
    <w:rsid w:val="FFCB0360"/>
    <w:rsid w:val="FFCFBB49"/>
    <w:rsid w:val="FFCFC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1"/>
    <w:semiHidden/>
    <w:unhideWhenUsed/>
    <w:qFormat/>
    <w:uiPriority w:val="99"/>
    <w:pPr>
      <w:ind w:left="100" w:leftChars="2500"/>
    </w:pPr>
  </w:style>
  <w:style w:type="paragraph" w:styleId="4">
    <w:name w:val="footer"/>
    <w:basedOn w:val="1"/>
    <w:link w:val="12"/>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semiHidden/>
    <w:unhideWhenUsed/>
    <w:qFormat/>
    <w:uiPriority w:val="99"/>
    <w:rPr>
      <w:color w:val="0000FF"/>
      <w:u w:val="single"/>
    </w:rPr>
  </w:style>
  <w:style w:type="character" w:customStyle="1" w:styleId="11">
    <w:name w:val="日期 Char"/>
    <w:basedOn w:val="9"/>
    <w:link w:val="3"/>
    <w:semiHidden/>
    <w:qFormat/>
    <w:uiPriority w:val="99"/>
    <w:rPr>
      <w:rFonts w:ascii="Calibri" w:hAnsi="Calibri"/>
      <w:kern w:val="2"/>
      <w:sz w:val="21"/>
      <w:szCs w:val="24"/>
    </w:rPr>
  </w:style>
  <w:style w:type="character" w:customStyle="1" w:styleId="12">
    <w:name w:val="页脚 Char"/>
    <w:basedOn w:val="9"/>
    <w:link w:val="4"/>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9</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2021-02-10T19:36:00Z</dcterms:created>
  <dc:creator>admin</dc:creator>
  <cp:lastModifiedBy>huanghe</cp:lastModifiedBy>
  <cp:lastPrinted>2022-07-04T16:45:00Z</cp:lastPrinted>
  <dcterms:modified xsi:type="dcterms:W3CDTF">2022-07-13T18:08:02Z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