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60</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bCs/>
          <w:color w:val="000000"/>
          <w:sz w:val="32"/>
          <w:szCs w:val="32"/>
          <w:lang w:eastAsia="zh-CN"/>
        </w:rPr>
        <w:t>腾讯控股有限公司</w:t>
      </w:r>
    </w:p>
    <w:p>
      <w:pPr>
        <w:pStyle w:val="2"/>
        <w:keepNext w:val="0"/>
        <w:keepLines w:val="0"/>
        <w:pageBreakBefore w:val="0"/>
        <w:widowControl w:val="0"/>
        <w:kinsoku/>
        <w:wordWrap/>
        <w:topLinePunct w:val="0"/>
        <w:bidi w:val="0"/>
        <w:spacing w:line="594" w:lineRule="exact"/>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bCs/>
          <w:color w:val="000000"/>
          <w:sz w:val="32"/>
          <w:szCs w:val="32"/>
          <w:lang w:eastAsia="zh-CN"/>
        </w:rPr>
        <w:t>开曼群岛哈金斯大道克里奇广场</w:t>
      </w:r>
    </w:p>
    <w:p>
      <w:pPr>
        <w:pStyle w:val="3"/>
        <w:keepNext w:val="0"/>
        <w:keepLines w:val="0"/>
        <w:pageBreakBefore w:val="0"/>
        <w:widowControl w:val="0"/>
        <w:kinsoku/>
        <w:wordWrap/>
        <w:topLinePunct w:val="0"/>
        <w:bidi w:val="0"/>
        <w:spacing w:after="0" w:line="594" w:lineRule="exact"/>
        <w:textAlignment w:val="auto"/>
        <w:outlineLvl w:val="9"/>
        <w:rPr>
          <w:rFonts w:hint="default" w:ascii="Times New Roman" w:hAnsi="Times New Roman" w:eastAsia="仿宋_GB2312" w:cs="Times New Roman"/>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（以下简称《反垄断法》）、</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2021年4月12日</w:t>
      </w:r>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sz w:val="32"/>
          <w:lang w:eastAsia="zh-CN"/>
        </w:rPr>
        <w:t>腾讯控股有限公司（以下简称腾讯）收购</w:t>
      </w:r>
      <w:r>
        <w:rPr>
          <w:rFonts w:hint="default" w:ascii="Times New Roman" w:hAnsi="Times New Roman" w:eastAsia="仿宋_GB2312" w:cs="Times New Roman"/>
          <w:b w:val="0"/>
          <w:bCs w:val="0"/>
          <w:kern w:val="2"/>
          <w:sz w:val="32"/>
          <w:szCs w:val="32"/>
          <w:lang w:val="en-US" w:eastAsia="zh-CN" w:bidi="ar-SA"/>
        </w:rPr>
        <w:t>Kingsoft Internet Security Software Holdings Limited</w:t>
      </w:r>
      <w:r>
        <w:rPr>
          <w:rFonts w:hint="default" w:ascii="Times New Roman" w:hAnsi="Times New Roman" w:eastAsia="仿宋_GB2312" w:cs="Times New Roman"/>
          <w:sz w:val="32"/>
          <w:lang w:eastAsia="zh-CN"/>
        </w:rPr>
        <w:t>（以下简称猎豹移动）</w:t>
      </w:r>
      <w:r>
        <w:rPr>
          <w:rFonts w:hint="default" w:ascii="Times New Roman" w:hAnsi="Times New Roman" w:eastAsia="仿宋_GB2312" w:cs="Times New Roman"/>
          <w:sz w:val="32"/>
          <w:szCs w:val="32"/>
        </w:rPr>
        <w:t>股权涉嫌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bookmarkStart w:id="0" w:name="_GoBack"/>
      <w:bookmarkEnd w:id="0"/>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8"/>
        <w:keepNext w:val="0"/>
        <w:keepLines w:val="0"/>
        <w:pageBreakBefore w:val="0"/>
        <w:widowControl w:val="0"/>
        <w:kinsoku/>
        <w:wordWrap/>
        <w:topLinePunct w:val="0"/>
        <w:bidi w:val="0"/>
        <w:snapToGrid/>
        <w:spacing w:line="594" w:lineRule="exact"/>
        <w:ind w:firstLine="643"/>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b w:val="0"/>
          <w:bCs w:val="0"/>
          <w:sz w:val="32"/>
          <w:szCs w:val="32"/>
          <w:lang w:eastAsia="zh-CN"/>
        </w:rPr>
        <w:t>收购方：腾讯。</w:t>
      </w:r>
      <w:r>
        <w:rPr>
          <w:rFonts w:hint="default" w:ascii="Times New Roman" w:hAnsi="Times New Roman" w:eastAsia="仿宋_GB2312" w:cs="Times New Roman"/>
          <w:sz w:val="32"/>
          <w:lang w:val="en-US" w:eastAsia="zh-CN"/>
        </w:rPr>
        <w:t>1999</w:t>
      </w:r>
      <w:r>
        <w:rPr>
          <w:rFonts w:hint="default" w:ascii="Times New Roman" w:hAnsi="Times New Roman" w:eastAsia="仿宋_GB2312" w:cs="Times New Roman"/>
          <w:sz w:val="32"/>
          <w:lang w:eastAsia="zh-CN"/>
        </w:rPr>
        <w:t>年</w:t>
      </w:r>
      <w:r>
        <w:rPr>
          <w:rFonts w:hint="default" w:ascii="Times New Roman" w:hAnsi="Times New Roman" w:eastAsia="仿宋_GB2312" w:cs="Times New Roman"/>
          <w:sz w:val="32"/>
          <w:lang w:val="en-US" w:eastAsia="zh-CN"/>
        </w:rPr>
        <w:t>11月于</w:t>
      </w:r>
      <w:r>
        <w:rPr>
          <w:rFonts w:hint="default" w:ascii="Times New Roman" w:hAnsi="Times New Roman" w:eastAsia="仿宋_GB2312" w:cs="Times New Roman"/>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2010年全球</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sz w:val="32"/>
          <w:lang w:val="en-US" w:eastAsia="zh-CN"/>
        </w:rPr>
        <w:t>（略），中国境内</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sz w:val="32"/>
          <w:lang w:val="en-US" w:eastAsia="zh-CN"/>
        </w:rPr>
        <w:t>（略）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topLinePunct w:val="0"/>
        <w:bidi w:val="0"/>
        <w:snapToGrid/>
        <w:spacing w:line="594" w:lineRule="exact"/>
        <w:ind w:firstLine="628"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被收购方：猎豹移动。</w:t>
      </w:r>
      <w:r>
        <w:rPr>
          <w:rFonts w:hint="default" w:ascii="Times New Roman" w:hAnsi="Times New Roman" w:eastAsia="仿宋_GB2312" w:cs="Times New Roman"/>
          <w:kern w:val="2"/>
          <w:sz w:val="32"/>
          <w:szCs w:val="32"/>
          <w:lang w:val="en-US" w:eastAsia="zh-CN" w:bidi="ar-SA"/>
        </w:rPr>
        <w:t>2009年7月于开曼群岛注册成立，主要从事移动软件、工具应用开发业务，核心业务为PC安全业务。其最终控制人Kingsoft Corporation Limited主要从事网络游戏、移动电话游戏、互联网安全、词典及办公室应用软件产品的研究、开发、经营及分销业务。猎豹移动2010年全球营业额为（略），中国境内营业额为（略）。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cs="Times New Roman"/>
          <w:bCs/>
          <w:sz w:val="32"/>
          <w:szCs w:val="32"/>
          <w:lang w:eastAsia="zh-CN"/>
        </w:rPr>
      </w:pPr>
      <w:r>
        <w:rPr>
          <w:rFonts w:hint="default" w:ascii="Times New Roman" w:hAnsi="Times New Roman" w:eastAsia="仿宋_GB2312" w:cs="Times New Roman"/>
          <w:kern w:val="2"/>
          <w:sz w:val="32"/>
          <w:szCs w:val="32"/>
          <w:lang w:val="en-US" w:eastAsia="zh-CN" w:bidi="ar-SA"/>
        </w:rPr>
        <w:t>本交易系股权收购。2011年7月，腾讯通过其控股子公司TCH Copper Limited（以下简称TCH）与FaX Vision（股份出让方）签订股份转让协议，以现金方式获得猎豹移动1500万股普通股，同日，TCH以现金方式另认购猎豹移动95240964股A轮优先股，合计收购猎豹移动10%股份。2011年7月7日完成股权交割。</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628"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2011年7月，腾讯合计认购猎豹移动10%的股权并取得控制权。属于《反垄断法》第二十条规定的经营者集中。</w:t>
      </w:r>
    </w:p>
    <w:p>
      <w:pPr>
        <w:keepNext w:val="0"/>
        <w:keepLines w:val="0"/>
        <w:pageBreakBefore w:val="0"/>
        <w:widowControl w:val="0"/>
        <w:kinsoku/>
        <w:wordWrap/>
        <w:topLinePunct w:val="0"/>
        <w:bidi w:val="0"/>
        <w:spacing w:line="594" w:lineRule="exact"/>
        <w:ind w:firstLine="628"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腾讯2010年度全球营业额为（略），中国境内营业额为（略）；猎豹移动2010年度全球营业额为（略），中国境内营业额为（略），达到《国务院关于经营者集中申报标准的规定》第三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反垄断法》第二十一条规定“经营者集中达到国务院规定的申报标准的，经营者应当事先向国务院反垄断执法机构申报，未申报的不得实施集中”。本交易2011年7月7日完成股权交割。在此之前未向本机关申报，违反《反垄断法》第二十一条，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SA"/>
        </w:rPr>
        <w:t>本机关就腾讯收购猎豹移动股权对市场竞争的影响进行了评估，评估认为，该项经营者集中不会产生排除、限制竞争的效果</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outlineLvl w:val="9"/>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w:t>
      </w:r>
      <w:r>
        <w:rPr>
          <w:rFonts w:hint="default" w:ascii="Times New Roman" w:hAnsi="Times New Roman" w:eastAsia="仿宋_GB2312" w:cs="Times New Roman"/>
          <w:kern w:val="2"/>
          <w:sz w:val="32"/>
          <w:szCs w:val="32"/>
          <w:lang w:val="en-US" w:eastAsia="zh-CN" w:bidi="ar-SA"/>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r>
        <w:rPr>
          <w:rFonts w:hint="default" w:ascii="Times New Roman" w:hAnsi="Times New Roman" w:eastAsia="仿宋_GB2312" w:cs="Times New Roman"/>
          <w:bCs/>
          <w:color w:val="000000"/>
          <w:kern w:val="2"/>
          <w:sz w:val="32"/>
          <w:szCs w:val="32"/>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default" w:ascii="Times New Roman" w:hAnsi="Times New Roman" w:eastAsia="仿宋_GB2312" w:cs="Times New Roman"/>
          <w:color w:val="auto"/>
          <w:kern w:val="2"/>
          <w:sz w:val="32"/>
          <w:szCs w:val="32"/>
          <w:lang w:val="en-US" w:eastAsia="zh-CN"/>
        </w:rPr>
        <w:t>0000002101210787</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outlineLvl w:val="9"/>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C17D77"/>
    <w:rsid w:val="1F2A7FF3"/>
    <w:rsid w:val="3252792B"/>
    <w:rsid w:val="34667E7C"/>
    <w:rsid w:val="4010322D"/>
    <w:rsid w:val="49A77FFB"/>
    <w:rsid w:val="576B2487"/>
    <w:rsid w:val="5C891267"/>
    <w:rsid w:val="636371FC"/>
    <w:rsid w:val="639B7F4A"/>
    <w:rsid w:val="642A53BE"/>
    <w:rsid w:val="6F8D1794"/>
    <w:rsid w:val="7C46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反垄断局监察处</cp:lastModifiedBy>
  <dcterms:modified xsi:type="dcterms:W3CDTF">2021-07-06T07:07:28Z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