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kern w:val="2"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30"/>
          <w:kern w:val="2"/>
          <w:sz w:val="52"/>
          <w:szCs w:val="52"/>
          <w:fitText w:val="5742" w:id="0"/>
        </w:rPr>
        <w:t>国家市场监督管理总</w:t>
      </w:r>
      <w:r>
        <w:rPr>
          <w:rFonts w:hint="default" w:ascii="Times New Roman" w:hAnsi="Times New Roman" w:eastAsia="黑体" w:cs="Times New Roman"/>
          <w:bCs/>
          <w:color w:val="000000"/>
          <w:spacing w:val="1"/>
          <w:kern w:val="2"/>
          <w:sz w:val="52"/>
          <w:szCs w:val="52"/>
          <w:fitText w:val="5742" w:id="0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175"/>
          <w:kern w:val="2"/>
          <w:sz w:val="52"/>
          <w:szCs w:val="52"/>
          <w:fitText w:val="5742" w:id="1"/>
        </w:rPr>
        <w:t>行政处罚决定</w:t>
      </w:r>
      <w:r>
        <w:rPr>
          <w:rFonts w:hint="default" w:ascii="Times New Roman" w:hAnsi="Times New Roman" w:eastAsia="黑体" w:cs="Times New Roman"/>
          <w:bCs/>
          <w:color w:val="000000"/>
          <w:spacing w:val="1"/>
          <w:kern w:val="2"/>
          <w:sz w:val="52"/>
          <w:szCs w:val="52"/>
          <w:fitText w:val="5742" w:id="1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国市监处〔202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〕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56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当事人：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杭州阿里创业投资有限公司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pacing w:after="0"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住  所：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杭州市滨江区网商路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699号1号楼3楼301室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根据《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反垄断法》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（以下简称《反垄断法》）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《经营者集中审查暂行规定》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，本机关于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2021年5月24日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杭州阿里创业投资有限公司（以下简称阿里创投）收购五矿电子商务有限公司（以下简称五矿电商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股权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涉嫌违法实施经营者集中案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进行立案调查。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bidi w:val="0"/>
        <w:adjustRightInd w:val="0"/>
        <w:snapToGrid/>
        <w:spacing w:before="0" w:beforeAutospacing="0" w:after="0" w:afterAutospacing="0" w:line="594" w:lineRule="exact"/>
        <w:ind w:left="0" w:right="0" w:firstLine="628" w:firstLineChars="200"/>
        <w:jc w:val="lef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经查，该案构成违法实施的经营者集中，但不具有排除、限制竞争的效果。本机关按照《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行政处罚法》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（以下简称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《行政处罚法》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的规定，向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阿里创投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送达了《行政处罚告知书》，告知其拟作出行政处罚决定的事实、理由、证据、处罚内容，以及其依法享有的陈述权、申辩权和要求听证权。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阿里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创投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在规定期限内没有提出陈述、申辩意见或要求举行听证。本案现已调查、审理终结。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  <w:t>（一）交易方。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收购方：阿里创投。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lang w:val="en-US" w:eastAsia="zh-CN" w:bidi="ar-SA"/>
        </w:rPr>
        <w:t>2006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年于浙江省杭州市注册成立，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最终控制人是阿里巴巴集团控股有限公司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(Alibaba Group Holding Limited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阿里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阿里主营业务包括网络零售平台服务、零售及批发商业、物流服务、生活服务、云计算、数字媒体及娱乐、创新业务等。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lang w:val="en-US" w:eastAsia="zh-CN" w:bidi="ar-SA"/>
        </w:rPr>
        <w:t>2015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年全球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营业额为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，中国境内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营业额为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被收购方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五矿电商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lang w:val="en-US" w:eastAsia="zh-CN" w:bidi="ar-SA"/>
        </w:rPr>
        <w:t>2012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月在北京注册成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立，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为五矿发展全资子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公司。五矿发展主要从事冶金原材料供应业务、钢铁流通及制品业务、物流业务、招标业务和电子商务平台运营。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lang w:val="en-US" w:eastAsia="zh-CN" w:bidi="ar-SA"/>
        </w:rPr>
        <w:t>2015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年全球和中国境内营业额均为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  <w:t>（二）交易概况。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left="0" w:firstLine="640"/>
        <w:textAlignment w:val="auto"/>
        <w:rPr>
          <w:rFonts w:hint="default" w:ascii="Times New Roman" w:hAnsi="Times New Roman" w:eastAsia="仿宋_GB2312" w:cs="Times New Roman"/>
          <w:bCs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本次交易系股权收购。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lang w:val="en-US" w:eastAsia="zh-CN" w:bidi="ar-SA"/>
        </w:rPr>
        <w:t>2015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6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lang w:val="en-US" w:eastAsia="zh-CN" w:bidi="ar-SA"/>
        </w:rPr>
        <w:t>11</w:t>
      </w:r>
      <w:r>
        <w:rPr>
          <w:rFonts w:hint="default" w:ascii="Times New Roman" w:hAnsi="Times New Roman" w:eastAsia="仿宋_GB2312" w:cs="Times New Roman"/>
          <w:bCs/>
          <w:sz w:val="32"/>
          <w:szCs w:val="36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lang w:val="en-US" w:eastAsia="zh-CN" w:bidi="ar-SA"/>
        </w:rPr>
        <w:t>27</w:t>
      </w:r>
      <w:r>
        <w:rPr>
          <w:rFonts w:hint="default" w:ascii="Times New Roman" w:hAnsi="Times New Roman" w:eastAsia="仿宋_GB2312" w:cs="Times New Roman"/>
          <w:bCs/>
          <w:sz w:val="32"/>
          <w:szCs w:val="36"/>
        </w:rPr>
        <w:t>日，阿里创投</w:t>
      </w:r>
      <w:r>
        <w:rPr>
          <w:rFonts w:hint="default" w:ascii="Times New Roman" w:hAnsi="Times New Roman" w:eastAsia="仿宋_GB2312" w:cs="Times New Roman"/>
          <w:bCs/>
          <w:sz w:val="32"/>
          <w:szCs w:val="36"/>
          <w:lang w:eastAsia="zh-CN"/>
        </w:rPr>
        <w:t>与</w:t>
      </w:r>
      <w:r>
        <w:rPr>
          <w:rFonts w:hint="default" w:ascii="Times New Roman" w:hAnsi="Times New Roman" w:eastAsia="仿宋_GB2312" w:cs="Times New Roman"/>
          <w:bCs/>
          <w:sz w:val="32"/>
          <w:szCs w:val="36"/>
        </w:rPr>
        <w:t>五矿发展</w:t>
      </w:r>
      <w:r>
        <w:rPr>
          <w:rFonts w:hint="default" w:ascii="Times New Roman" w:hAnsi="Times New Roman" w:eastAsia="仿宋_GB2312" w:cs="Times New Roman"/>
          <w:bCs/>
          <w:sz w:val="32"/>
          <w:szCs w:val="36"/>
          <w:lang w:eastAsia="zh-CN"/>
        </w:rPr>
        <w:t>和</w:t>
      </w:r>
      <w:r>
        <w:rPr>
          <w:rFonts w:hint="default" w:ascii="Times New Roman" w:hAnsi="Times New Roman" w:eastAsia="仿宋_GB2312" w:cs="Times New Roman"/>
          <w:bCs/>
          <w:sz w:val="32"/>
          <w:szCs w:val="36"/>
        </w:rPr>
        <w:t>北京海立云垂投资管理中心(有限合伙)（</w:t>
      </w:r>
      <w:r>
        <w:rPr>
          <w:rFonts w:hint="default" w:ascii="Times New Roman" w:hAnsi="Times New Roman" w:eastAsia="仿宋_GB2312" w:cs="Times New Roman"/>
          <w:bCs/>
          <w:sz w:val="32"/>
          <w:szCs w:val="36"/>
          <w:lang w:eastAsia="zh-CN"/>
        </w:rPr>
        <w:t>以下简称海立云垂</w:t>
      </w:r>
      <w:r>
        <w:rPr>
          <w:rFonts w:hint="default" w:ascii="Times New Roman" w:hAnsi="Times New Roman" w:eastAsia="仿宋_GB2312" w:cs="Times New Roman"/>
          <w:bCs/>
          <w:sz w:val="32"/>
          <w:szCs w:val="36"/>
        </w:rPr>
        <w:t>）签署《增资协议》、《股东协议》，增资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cs="Times New Roman"/>
          <w:bCs/>
          <w:sz w:val="32"/>
          <w:szCs w:val="36"/>
          <w:lang w:eastAsia="zh-CN"/>
        </w:rPr>
        <w:t>，取得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6"/>
        </w:rPr>
        <w:t>五矿电商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lang w:val="en-US" w:eastAsia="zh-CN" w:bidi="ar-SA"/>
        </w:rPr>
        <w:t>44%</w:t>
      </w:r>
      <w:r>
        <w:rPr>
          <w:rFonts w:hint="default" w:ascii="Times New Roman" w:hAnsi="Times New Roman" w:eastAsia="仿宋_GB2312" w:cs="Times New Roman"/>
          <w:bCs/>
          <w:sz w:val="32"/>
          <w:szCs w:val="36"/>
        </w:rPr>
        <w:t>股权</w:t>
      </w:r>
      <w:r>
        <w:rPr>
          <w:rFonts w:hint="default" w:ascii="Times New Roman" w:hAnsi="Times New Roman" w:eastAsia="仿宋_GB2312" w:cs="Times New Roman"/>
          <w:bCs/>
          <w:sz w:val="32"/>
          <w:szCs w:val="36"/>
          <w:lang w:eastAsia="zh-CN"/>
        </w:rPr>
        <w:t>，并取得共同控制权。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lang w:val="en-US" w:eastAsia="zh-CN" w:bidi="ar-SA"/>
        </w:rPr>
        <w:t>2016</w:t>
      </w:r>
      <w:r>
        <w:rPr>
          <w:rFonts w:hint="default" w:ascii="Times New Roman" w:hAnsi="Times New Roman" w:eastAsia="仿宋_GB2312" w:cs="Times New Roman"/>
          <w:bCs/>
          <w:sz w:val="32"/>
          <w:szCs w:val="36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  <w:szCs w:val="36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lang w:val="en-US" w:eastAsia="zh-CN" w:bidi="ar-SA"/>
        </w:rPr>
        <w:t>24</w:t>
      </w:r>
      <w:r>
        <w:rPr>
          <w:rFonts w:hint="default" w:ascii="Times New Roman" w:hAnsi="Times New Roman" w:eastAsia="仿宋_GB2312" w:cs="Times New Roman"/>
          <w:bCs/>
          <w:sz w:val="32"/>
          <w:szCs w:val="36"/>
        </w:rPr>
        <w:t>日，</w:t>
      </w:r>
      <w:r>
        <w:rPr>
          <w:rFonts w:hint="default" w:ascii="Times New Roman" w:hAnsi="Times New Roman" w:eastAsia="仿宋_GB2312" w:cs="Times New Roman"/>
          <w:bCs/>
          <w:sz w:val="32"/>
          <w:szCs w:val="36"/>
          <w:lang w:eastAsia="zh-CN"/>
        </w:rPr>
        <w:t>五矿电商</w:t>
      </w:r>
      <w:r>
        <w:rPr>
          <w:rFonts w:hint="default" w:ascii="Times New Roman" w:hAnsi="Times New Roman" w:eastAsia="仿宋_GB2312" w:cs="Times New Roman"/>
          <w:bCs/>
          <w:sz w:val="32"/>
          <w:szCs w:val="36"/>
        </w:rPr>
        <w:t>完成股权变更登记手续。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二、违法事实及理由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  <w:t>（一）本案构成违法实施的经营者集中。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《反垄断法》第二十条规定“经营者集中是指下列情形：（一）经营者合并；（二）经营者通过取得股权或者资产的方式取得对其他经营者的控制权；（三）经营者通过合同等方式取得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对其他经营者的控制权或者能够对其他经营者施加决定性影响”。阿里创投取得五矿电商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lang w:val="en-US" w:eastAsia="zh-CN" w:bidi="ar-SA"/>
        </w:rPr>
        <w:t>44%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股权，并取得</w:t>
      </w:r>
      <w:r>
        <w:rPr>
          <w:rFonts w:hint="default" w:ascii="Times New Roman" w:hAnsi="Times New Roman" w:eastAsia="仿宋_GB2312" w:cs="Times New Roman"/>
          <w:bCs/>
          <w:sz w:val="32"/>
          <w:szCs w:val="36"/>
        </w:rPr>
        <w:t>共同控制权</w:t>
      </w:r>
      <w:r>
        <w:rPr>
          <w:rFonts w:hint="eastAsia" w:eastAsia="仿宋_GB2312" w:cs="Times New Roman"/>
          <w:bCs/>
          <w:sz w:val="32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6"/>
          <w:lang w:eastAsia="zh-CN"/>
        </w:rPr>
        <w:t>属于《反垄断法》第二十条规定的经营者集中。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阿里</w:t>
      </w:r>
      <w:r>
        <w:rPr>
          <w:rFonts w:hint="eastAsia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创投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lang w:val="en-US" w:eastAsia="zh-CN" w:bidi="ar-SA"/>
        </w:rPr>
        <w:t>2015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年全球营业额为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，中国境内营业额为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；五矿发展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lang w:val="en-US" w:eastAsia="zh-CN" w:bidi="ar-SA"/>
        </w:rPr>
        <w:t>2015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年全球和中国境内营业额均为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，达到《国务院关于经营者集中申报标准的规定》第三条规定的申报标准，属于应当申报情形。</w:t>
      </w:r>
    </w:p>
    <w:p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28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《反垄断法》第二十一条规定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营者集中达到国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务院规定的申报标准的，经营者应当事先向国务院反垄断执法机构申报，未申报的不得实施集中”。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lang w:val="en-US" w:eastAsia="zh-CN" w:bidi="ar-SA"/>
        </w:rPr>
        <w:t>2016</w:t>
      </w:r>
      <w:r>
        <w:rPr>
          <w:rFonts w:hint="default" w:ascii="Times New Roman" w:hAnsi="Times New Roman" w:eastAsia="仿宋_GB2312" w:cs="Times New Roman"/>
          <w:bCs/>
          <w:sz w:val="32"/>
          <w:szCs w:val="36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  <w:szCs w:val="36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lang w:val="en-US" w:eastAsia="zh-CN" w:bidi="ar-SA"/>
        </w:rPr>
        <w:t>24</w:t>
      </w:r>
      <w:r>
        <w:rPr>
          <w:rFonts w:hint="default" w:ascii="Times New Roman" w:hAnsi="Times New Roman" w:eastAsia="仿宋_GB2312" w:cs="Times New Roman"/>
          <w:bCs/>
          <w:sz w:val="32"/>
          <w:szCs w:val="36"/>
        </w:rPr>
        <w:t>日，</w:t>
      </w:r>
      <w:r>
        <w:rPr>
          <w:rFonts w:hint="default" w:ascii="Times New Roman" w:hAnsi="Times New Roman" w:eastAsia="仿宋_GB2312" w:cs="Times New Roman"/>
          <w:bCs/>
          <w:sz w:val="32"/>
          <w:szCs w:val="36"/>
          <w:lang w:eastAsia="zh-CN"/>
        </w:rPr>
        <w:t>五矿电商</w:t>
      </w:r>
      <w:r>
        <w:rPr>
          <w:rFonts w:hint="default" w:ascii="Times New Roman" w:hAnsi="Times New Roman" w:eastAsia="仿宋_GB2312" w:cs="Times New Roman"/>
          <w:bCs/>
          <w:sz w:val="32"/>
          <w:szCs w:val="36"/>
        </w:rPr>
        <w:t>完成股权变更登记手续</w:t>
      </w:r>
      <w:r>
        <w:rPr>
          <w:rFonts w:hint="default" w:ascii="Times New Roman" w:hAnsi="Times New Roman" w:eastAsia="仿宋_GB2312" w:cs="Times New Roman"/>
          <w:bCs/>
          <w:sz w:val="32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在此之前未向本机关申报，违反《反垄断法》第二十一条，构成违法实施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  <w:t>（二）本案不具有排除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  <w:t>、限制竞争的效果。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textAlignment w:val="auto"/>
        <w:outlineLvl w:val="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本机关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阿里创投</w:t>
      </w: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收购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五矿电商股权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对市场竞争的影响进行了评估，评估认为，该项经营者集中不会产生排除、限制竞争的效果。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三、行政处罚依据和决定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16" w:firstLineChars="196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《反垄断法》第四十八条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规定“经营者违反本法规定实施集中的，由国务院反垄断执法机构责令停止实施集中、限期处分股份或者资产、限期转让营业以及采取其他必要措施恢复到集中前的状态，可以处五十万元以下的罚款”。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《反垄断法》第四十九条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规定“对本法第四十六条、第四十七条、第四十八条规定的罚款，反垄断执法机构确定具体罚款数额时，应当考虑违法行为的性质、程度和持续的时间等因素”。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上述规定，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基于调查情况和评估结论，本机关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决定给予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阿里创投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0万元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罚款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的行政处罚。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《行政处罚法》第四十六条规定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“作出罚款决定的行政机关应当与收缴罚款的机构分离。除依照本法第四十七条、第四十八条的规定当场收缴的罚款外，作出行政处罚决定的行政机关及其执法人员不得自行收缴罚款。当事人应当自收到行政处罚决定书之日起十五日内，到指定的银行缴纳罚款。银行应当收受罚款，并将罚款直接上缴国库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应当自收到本行政处罚决定书之日起十五日内，根据本行政处罚决定书，携缴款码到12家中央财政非税收入收缴代理银行（工、农、中、建、交、中信、光大、招商、邮储、华夏、平安、兴业）任一银行网点或者网上银行交纳罚款。缴款码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0000002101210752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 xml:space="preserve">如对上述行政处罚决定不服，可以自收到本行政处罚决定书之日起六十日内，向国家市场监督管理总局申请行政复议；或者自收到本行政处罚决定书之日起六个月内，依法向人民法院提起行政诉讼。行政复议或者行政诉讼期间，本行政处罚决定不停止执行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5433" w:firstLineChars="173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市场监管总局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5225" w:firstLineChars="1664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月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（此件公开发布）</w:t>
      </w:r>
    </w:p>
    <w:sectPr>
      <w:footerReference r:id="rId3" w:type="default"/>
      <w:footerReference r:id="rId4" w:type="even"/>
      <w:pgSz w:w="11906" w:h="16838"/>
      <w:pgMar w:top="2098" w:right="1474" w:bottom="1985" w:left="1474" w:header="851" w:footer="1814" w:gutter="0"/>
      <w:cols w:space="720" w:num="1"/>
      <w:docGrid w:type="linesAndChars" w:linePitch="289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570B1"/>
    <w:rsid w:val="01980607"/>
    <w:rsid w:val="05D15580"/>
    <w:rsid w:val="066D167A"/>
    <w:rsid w:val="06E94DAD"/>
    <w:rsid w:val="075F674C"/>
    <w:rsid w:val="09AC08F5"/>
    <w:rsid w:val="129A3CFA"/>
    <w:rsid w:val="13F85EFD"/>
    <w:rsid w:val="16657401"/>
    <w:rsid w:val="169767E4"/>
    <w:rsid w:val="173B2FCB"/>
    <w:rsid w:val="18DB1E51"/>
    <w:rsid w:val="192053EE"/>
    <w:rsid w:val="1A156921"/>
    <w:rsid w:val="1B095395"/>
    <w:rsid w:val="1D3570B1"/>
    <w:rsid w:val="1D3A2CEA"/>
    <w:rsid w:val="1E4F63CE"/>
    <w:rsid w:val="1F573D93"/>
    <w:rsid w:val="21623065"/>
    <w:rsid w:val="239A0124"/>
    <w:rsid w:val="265326DA"/>
    <w:rsid w:val="28C8606C"/>
    <w:rsid w:val="29171A1E"/>
    <w:rsid w:val="31E778A8"/>
    <w:rsid w:val="3370247A"/>
    <w:rsid w:val="33B94AAA"/>
    <w:rsid w:val="37267606"/>
    <w:rsid w:val="38043EF0"/>
    <w:rsid w:val="4297136E"/>
    <w:rsid w:val="44F1186A"/>
    <w:rsid w:val="49513DE5"/>
    <w:rsid w:val="49F75885"/>
    <w:rsid w:val="4ABC40B8"/>
    <w:rsid w:val="4EF957B9"/>
    <w:rsid w:val="4EFD73AF"/>
    <w:rsid w:val="51075873"/>
    <w:rsid w:val="52A77C54"/>
    <w:rsid w:val="5BDD2331"/>
    <w:rsid w:val="5C686AC3"/>
    <w:rsid w:val="5D4E6DD5"/>
    <w:rsid w:val="60DE7ADB"/>
    <w:rsid w:val="62480E1A"/>
    <w:rsid w:val="630535E1"/>
    <w:rsid w:val="63432760"/>
    <w:rsid w:val="640E6FE8"/>
    <w:rsid w:val="68197930"/>
    <w:rsid w:val="686D740E"/>
    <w:rsid w:val="6EEE1E75"/>
    <w:rsid w:val="6F712D0C"/>
    <w:rsid w:val="7073388E"/>
    <w:rsid w:val="74305434"/>
    <w:rsid w:val="7A782B89"/>
    <w:rsid w:val="7C702BD4"/>
    <w:rsid w:val="7D64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exact"/>
      <w:ind w:firstLine="420" w:firstLineChars="200"/>
    </w:pPr>
    <w:rPr>
      <w:szCs w:val="20"/>
    </w:r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paragraph" w:customStyle="1" w:styleId="9">
    <w:name w:val="内容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360" w:lineRule="auto"/>
      <w:ind w:firstLine="200" w:firstLineChars="20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2020-12-10T02:26:00Z</dcterms:created>
  <dc:creator>徐霄飞</dc:creator>
  <cp:lastModifiedBy>反垄断局监察处</cp:lastModifiedBy>
  <cp:lastPrinted>2021-07-02T02:29:00Z</cp:lastPrinted>
  <dcterms:modified xsi:type="dcterms:W3CDTF">2021-07-06T06:38:06Z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