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eastAsia="黑体"/>
          <w:bCs/>
          <w:color w:val="000000"/>
          <w:kern w:val="2"/>
          <w:sz w:val="52"/>
          <w:szCs w:val="52"/>
        </w:rPr>
      </w:pPr>
      <w:r>
        <w:rPr>
          <w:rFonts w:hint="eastAsia" w:eastAsia="黑体"/>
          <w:bCs/>
          <w:color w:val="000000"/>
          <w:spacing w:val="30"/>
          <w:kern w:val="2"/>
          <w:sz w:val="52"/>
          <w:szCs w:val="52"/>
          <w:fitText w:val="5742" w:id="0"/>
        </w:rPr>
        <w:t>国家市场监督管理总</w:t>
      </w:r>
      <w:r>
        <w:rPr>
          <w:rFonts w:hint="eastAsia" w:eastAsia="黑体"/>
          <w:bCs/>
          <w:color w:val="000000"/>
          <w:spacing w:val="1"/>
          <w:kern w:val="2"/>
          <w:sz w:val="52"/>
          <w:szCs w:val="52"/>
          <w:fitText w:val="5742" w:id="0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eastAsia="仿宋_GB2312"/>
          <w:color w:val="000000"/>
          <w:kern w:val="2"/>
          <w:sz w:val="44"/>
          <w:szCs w:val="44"/>
        </w:rPr>
      </w:pPr>
      <w:r>
        <w:rPr>
          <w:rFonts w:hint="eastAsia" w:eastAsia="黑体"/>
          <w:bCs/>
          <w:color w:val="000000"/>
          <w:spacing w:val="175"/>
          <w:kern w:val="2"/>
          <w:sz w:val="52"/>
          <w:szCs w:val="52"/>
          <w:fitText w:val="5742" w:id="1"/>
        </w:rPr>
        <w:t>行政处罚决定</w:t>
      </w:r>
      <w:r>
        <w:rPr>
          <w:rFonts w:hint="eastAsia" w:eastAsia="黑体"/>
          <w:bCs/>
          <w:color w:val="000000"/>
          <w:spacing w:val="1"/>
          <w:kern w:val="2"/>
          <w:sz w:val="52"/>
          <w:szCs w:val="52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hint="eastAsia"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国市监处〔202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eastAsia="仿宋_GB2312"/>
          <w:kern w:val="2"/>
          <w:sz w:val="32"/>
          <w:szCs w:val="32"/>
        </w:rPr>
        <w:t>〕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51</w:t>
      </w:r>
      <w:r>
        <w:rPr>
          <w:rFonts w:hint="eastAsia" w:eastAsia="仿宋_GB2312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hint="eastAsia" w:eastAsia="仿宋_GB2312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eastAsia" w:eastAsia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当事人：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北京车胜科技有限公司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eastAsia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住  所：</w:t>
      </w:r>
      <w:r>
        <w:rPr>
          <w:rFonts w:hint="eastAsia" w:eastAsia="仿宋_GB2312"/>
          <w:kern w:val="2"/>
          <w:sz w:val="32"/>
          <w:szCs w:val="32"/>
        </w:rPr>
        <w:t>北京市海淀区东北旺西路8号院35号楼5层502号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eastAsia" w:eastAsia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当事人：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时空电动汽车股份有限公司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line="594" w:lineRule="exact"/>
        <w:ind w:firstLine="628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住  所：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 xml:space="preserve">浙江省杭州市下城区环城北路303号501室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line="594" w:lineRule="exact"/>
        <w:ind w:firstLine="628" w:firstLineChars="200"/>
        <w:textAlignment w:val="auto"/>
        <w:rPr>
          <w:rFonts w:hint="default" w:eastAsia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eastAsia"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根据《</w:t>
      </w:r>
      <w:r>
        <w:rPr>
          <w:rFonts w:hint="eastAsia" w:eastAsia="仿宋_GB2312"/>
          <w:kern w:val="2"/>
          <w:sz w:val="32"/>
          <w:szCs w:val="32"/>
          <w:lang w:eastAsia="zh-CN"/>
        </w:rPr>
        <w:t>中华人民共和国</w:t>
      </w:r>
      <w:r>
        <w:rPr>
          <w:rFonts w:hint="eastAsia" w:eastAsia="仿宋_GB2312"/>
          <w:kern w:val="2"/>
          <w:sz w:val="32"/>
          <w:szCs w:val="32"/>
        </w:rPr>
        <w:t>反垄断法》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（以下简称</w:t>
      </w:r>
      <w:r>
        <w:rPr>
          <w:rFonts w:hint="eastAsia" w:eastAsia="仿宋_GB2312" w:cs="Times New Roman"/>
          <w:sz w:val="32"/>
          <w:szCs w:val="32"/>
          <w:lang w:eastAsia="zh-CN"/>
        </w:rPr>
        <w:t>《反垄断法》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《经营者集中审查暂行规定》</w:t>
      </w:r>
      <w:r>
        <w:rPr>
          <w:rFonts w:hint="eastAsia" w:eastAsia="仿宋_GB2312"/>
          <w:kern w:val="2"/>
          <w:sz w:val="32"/>
          <w:szCs w:val="32"/>
        </w:rPr>
        <w:t>，本机关于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北京车胜科技有限公司（以下简称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北京车胜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与时空电动汽车股份有限公司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（以下简称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时空电动车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设立合营企业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涉嫌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违法实施经营者集中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进行立案</w:t>
      </w:r>
      <w:r>
        <w:rPr>
          <w:rFonts w:hint="eastAsia" w:eastAsia="仿宋_GB2312"/>
          <w:kern w:val="2"/>
          <w:sz w:val="32"/>
          <w:szCs w:val="32"/>
        </w:rPr>
        <w:t>调查。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eastAsia"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经查，该案构成违法实施的经营者集中，但不具有排除、限制竞争的效果。本机关按照《</w:t>
      </w:r>
      <w:r>
        <w:rPr>
          <w:rFonts w:hint="eastAsia" w:eastAsia="仿宋_GB2312"/>
          <w:kern w:val="2"/>
          <w:sz w:val="32"/>
          <w:szCs w:val="32"/>
          <w:lang w:eastAsia="zh-CN"/>
        </w:rPr>
        <w:t>中华人民共和国</w:t>
      </w:r>
      <w:r>
        <w:rPr>
          <w:rFonts w:hint="eastAsia" w:eastAsia="仿宋_GB2312"/>
          <w:kern w:val="2"/>
          <w:sz w:val="32"/>
          <w:szCs w:val="32"/>
        </w:rPr>
        <w:t>行政处罚法》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（以下简称</w:t>
      </w:r>
      <w:r>
        <w:rPr>
          <w:rFonts w:hint="eastAsia" w:eastAsia="仿宋_GB2312"/>
          <w:kern w:val="2"/>
          <w:sz w:val="32"/>
          <w:szCs w:val="32"/>
        </w:rPr>
        <w:t>《行政处罚法》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eastAsia="仿宋_GB2312"/>
          <w:kern w:val="2"/>
          <w:sz w:val="32"/>
          <w:szCs w:val="32"/>
        </w:rPr>
        <w:t>的规定，向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北京车胜与时空电动车</w:t>
      </w:r>
      <w:r>
        <w:rPr>
          <w:rFonts w:hint="eastAsia" w:eastAsia="仿宋_GB2312"/>
          <w:kern w:val="2"/>
          <w:sz w:val="32"/>
          <w:szCs w:val="32"/>
        </w:rPr>
        <w:t>送达了《行政处罚告知书》，告知其拟作出行政处罚决定的事实、理由、证据、处罚内容，以及其依法享有的陈述权、申辩权和要求听证权。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北京车胜与时空电动车</w:t>
      </w:r>
      <w:r>
        <w:rPr>
          <w:rFonts w:hint="eastAsia" w:eastAsia="仿宋_GB2312"/>
          <w:kern w:val="2"/>
          <w:sz w:val="32"/>
          <w:szCs w:val="32"/>
        </w:rPr>
        <w:t>在规定期限内没有提出陈述、申辩意见或要求举行听证</w:t>
      </w:r>
      <w:r>
        <w:rPr>
          <w:rFonts w:hint="eastAsia" w:eastAsia="仿宋_GB2312"/>
          <w:kern w:val="2"/>
          <w:sz w:val="32"/>
          <w:szCs w:val="32"/>
          <w:lang w:eastAsia="zh-CN"/>
        </w:rPr>
        <w:t>。</w:t>
      </w:r>
      <w:r>
        <w:rPr>
          <w:rFonts w:hint="eastAsia" w:eastAsia="仿宋_GB2312"/>
          <w:kern w:val="2"/>
          <w:sz w:val="32"/>
          <w:szCs w:val="32"/>
        </w:rPr>
        <w:t>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（一）交易方。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after="160" w:line="594" w:lineRule="exact"/>
        <w:ind w:firstLine="628" w:firstLineChars="200"/>
        <w:jc w:val="both"/>
        <w:textAlignment w:val="auto"/>
        <w:rPr>
          <w:rFonts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合营方一：北京车胜。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2017年于北京市注册成立，是小桔快智公司（Xiaoju Kuaizhi Inc.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以下简称滴滴）全资子公司，最终控制人是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（略）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，主要从事网络预约出租车服务等业务。2017年全球营业额为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（略）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人民币（币种下同），中国境内营业额为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（略）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合营方二</w:t>
      </w:r>
      <w:r>
        <w:rPr>
          <w:rFonts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时空电动车</w:t>
      </w:r>
      <w:r>
        <w:rPr>
          <w:rFonts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2013年于浙江省杭州市注册成立，最终控制人是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（略）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，主要从事电动汽车及零部件的技术开发、技术服务、汽车及汽车配件批发零售等业务。2017年全球及中国境内营业额均为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（略）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ind w:firstLine="628" w:firstLineChars="200"/>
        <w:textAlignment w:val="auto"/>
        <w:outlineLvl w:val="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（二）交易概况。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28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本次交易系设立合营企业。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2018年9月13日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，北京车胜与时空电动车签署《杭州快途汽车服务有限公司章程》，设立合营企业杭州快途汽车服务有限公司，持股比例分别为北京车胜持股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3.23%，时空电动车持股96.77%。2018年9月21日，合营企业取得营业执照。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二、违法事实及理由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（一）本案构成违法实施的经营者集中。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6"/>
          <w:lang w:eastAsia="zh-CN"/>
        </w:rPr>
      </w:pPr>
      <w:bookmarkStart w:id="0" w:name="OLE_LINK49"/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对其他经营者的控制权或者能够对其他经营者施加决定性影响”。北京车胜与时空电动车设立合营企业，分别持股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3.23%和96.77%，共同控制合营企业</w:t>
      </w:r>
      <w:r>
        <w:rPr>
          <w:rFonts w:hint="eastAsia" w:ascii="仿宋_GB2312" w:hAnsi="仿宋_GB2312" w:eastAsia="仿宋_GB2312" w:cs="仿宋_GB2312"/>
          <w:bCs/>
          <w:sz w:val="32"/>
          <w:szCs w:val="36"/>
          <w:lang w:eastAsia="zh-CN"/>
        </w:rPr>
        <w:t>，属于《反垄断法》第二十条规定的经营者集中。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28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北京车胜2017年全球营业额为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（略）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，中国境内营业额为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（略）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，时空电动车2017年全球及中国境内营业额均为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（略）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，达到《国务院关于经营者集中申报标准的规定》第三条规定的申报标准，属于应当申报的情形。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《反垄断法》第二十一条规定“经营者集中达到国务院规定的申报标准的，经营者应当事先向国务院反垄断执法机构申报，未申报的不得实施集中”。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2018年9月21日，合营企业取得营业执照，在此之前未向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本机关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申报，违反《反垄断法》第二十一条，构成违法实施的经营者集中。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ind w:firstLine="628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本机关就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北京车胜与时空电动车设立合营企业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对市场竞争的影响进行了评估，评估认为，该项经营者集中不会产生排除、限制竞争的效果。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16" w:firstLineChars="196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《反垄断法》第四十八条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《反垄断法》第四十九条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上述规定，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基于调查情况和评估结论，本机关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给予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北京车胜与时空电动车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0万元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罚款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的行政处罚。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eastAsia" w:eastAsia="仿宋_GB2312"/>
          <w:kern w:val="2"/>
          <w:sz w:val="32"/>
          <w:szCs w:val="32"/>
          <w:lang w:eastAsia="zh-CN"/>
        </w:rPr>
      </w:pPr>
      <w:r>
        <w:rPr>
          <w:rFonts w:hint="eastAsia" w:eastAsia="仿宋_GB2312"/>
          <w:kern w:val="2"/>
          <w:sz w:val="32"/>
          <w:szCs w:val="32"/>
        </w:rPr>
        <w:t>《行政处罚法》第四十六条规定</w:t>
      </w:r>
      <w:r>
        <w:rPr>
          <w:rFonts w:hint="eastAsia" w:eastAsia="仿宋_GB2312"/>
          <w:kern w:val="2"/>
          <w:sz w:val="32"/>
          <w:szCs w:val="32"/>
          <w:lang w:eastAsia="zh-CN"/>
        </w:rPr>
        <w:t>“</w:t>
      </w:r>
      <w:bookmarkStart w:id="1" w:name="_GoBack"/>
      <w:bookmarkEnd w:id="1"/>
      <w:r>
        <w:rPr>
          <w:rFonts w:hint="eastAsia" w:eastAsia="仿宋_GB2312"/>
          <w:kern w:val="2"/>
          <w:sz w:val="32"/>
          <w:szCs w:val="32"/>
          <w:lang w:eastAsia="zh-CN"/>
        </w:rPr>
        <w:t>作出罚款决定的行政机关应当与收缴罚款的机构分离。除依照本法第四十七条、第四十八条的规定当场收缴的罚款外，作出行政处罚决定的行政机关及其执法人员不得自行收缴罚款。当事人应当自收到行政处罚决定书之日起十五日内，到指定的银行缴纳罚款。银行应当收受罚款，并将罚款直接上缴国库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eastAsia"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  <w:lang w:eastAsia="zh-CN"/>
        </w:rPr>
        <w:t>当事人</w:t>
      </w:r>
      <w:r>
        <w:rPr>
          <w:rFonts w:hint="eastAsia" w:eastAsia="仿宋_GB2312"/>
          <w:kern w:val="2"/>
          <w:sz w:val="32"/>
          <w:szCs w:val="32"/>
        </w:rPr>
        <w:t>应当自收到本行政处罚决定书之日起十五日内，根据本行政处罚决定书，携缴款码到12家中央财政非税收入收缴代理银行（工、农、中、建、交、中信、光大、招商、邮储、华夏、平安、兴业）任一银行网点或者网上银行交纳罚款。缴款码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北京车胜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0000002101210824；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时空电动车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0000002101210840</w:t>
      </w:r>
      <w:r>
        <w:rPr>
          <w:rFonts w:hint="eastAsia" w:eastAsia="仿宋_GB2312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eastAsia"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  <w:lang w:eastAsia="zh-CN"/>
        </w:rPr>
        <w:t>当事人</w:t>
      </w:r>
      <w:r>
        <w:rPr>
          <w:rFonts w:hint="eastAsia" w:eastAsia="仿宋_GB2312"/>
          <w:kern w:val="2"/>
          <w:sz w:val="32"/>
          <w:szCs w:val="32"/>
        </w:rPr>
        <w:t xml:space="preserve">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433" w:firstLineChars="1730"/>
        <w:textAlignment w:val="auto"/>
        <w:rPr>
          <w:rFonts w:hint="eastAsia"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225" w:firstLineChars="1664"/>
        <w:textAlignment w:val="auto"/>
        <w:rPr>
          <w:rFonts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202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eastAsia="仿宋_GB2312"/>
          <w:kern w:val="2"/>
          <w:sz w:val="32"/>
          <w:szCs w:val="32"/>
        </w:rPr>
        <w:t>年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7</w:t>
      </w:r>
      <w:r>
        <w:rPr>
          <w:rFonts w:hint="eastAsia" w:eastAsia="仿宋_GB2312"/>
          <w:kern w:val="2"/>
          <w:sz w:val="32"/>
          <w:szCs w:val="32"/>
        </w:rPr>
        <w:t>月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6</w:t>
      </w:r>
      <w:r>
        <w:rPr>
          <w:rFonts w:hint="eastAsia" w:eastAsia="仿宋_GB2312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rPr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（此件公开发布）</w:t>
      </w:r>
    </w:p>
    <w:sectPr>
      <w:footerReference r:id="rId3" w:type="default"/>
      <w:footerReference r:id="rId4" w:type="even"/>
      <w:pgSz w:w="11906" w:h="16838"/>
      <w:pgMar w:top="2098" w:right="1474" w:bottom="1985" w:left="1474" w:header="851" w:footer="1814" w:gutter="0"/>
      <w:cols w:space="720" w:num="1"/>
      <w:docGrid w:type="linesAndChars" w:linePitch="289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70B1"/>
    <w:rsid w:val="05D15580"/>
    <w:rsid w:val="072F71F4"/>
    <w:rsid w:val="075F674C"/>
    <w:rsid w:val="09AC08F5"/>
    <w:rsid w:val="11152737"/>
    <w:rsid w:val="13F85EFD"/>
    <w:rsid w:val="16657401"/>
    <w:rsid w:val="169767E4"/>
    <w:rsid w:val="18DB1E51"/>
    <w:rsid w:val="192053EE"/>
    <w:rsid w:val="1A156921"/>
    <w:rsid w:val="1B095395"/>
    <w:rsid w:val="1D3570B1"/>
    <w:rsid w:val="1F573D93"/>
    <w:rsid w:val="1FE91EC6"/>
    <w:rsid w:val="232076C2"/>
    <w:rsid w:val="265326DA"/>
    <w:rsid w:val="27215468"/>
    <w:rsid w:val="28C8606C"/>
    <w:rsid w:val="29171A1E"/>
    <w:rsid w:val="2D216B2A"/>
    <w:rsid w:val="305146DB"/>
    <w:rsid w:val="31E778A8"/>
    <w:rsid w:val="33B94AAA"/>
    <w:rsid w:val="37A461E5"/>
    <w:rsid w:val="38043EF0"/>
    <w:rsid w:val="39BE7CA2"/>
    <w:rsid w:val="3A31454F"/>
    <w:rsid w:val="4297136E"/>
    <w:rsid w:val="44F1186A"/>
    <w:rsid w:val="49513DE5"/>
    <w:rsid w:val="49F75885"/>
    <w:rsid w:val="4ABC40B8"/>
    <w:rsid w:val="4EF957B9"/>
    <w:rsid w:val="4EFD73AF"/>
    <w:rsid w:val="51075873"/>
    <w:rsid w:val="52A77C54"/>
    <w:rsid w:val="55BB6744"/>
    <w:rsid w:val="5BDD2331"/>
    <w:rsid w:val="5C686AC3"/>
    <w:rsid w:val="5D4E6DD5"/>
    <w:rsid w:val="630535E1"/>
    <w:rsid w:val="63432760"/>
    <w:rsid w:val="640E6FE8"/>
    <w:rsid w:val="68197930"/>
    <w:rsid w:val="686D740E"/>
    <w:rsid w:val="6E574529"/>
    <w:rsid w:val="6F712D0C"/>
    <w:rsid w:val="7073388E"/>
    <w:rsid w:val="72166E81"/>
    <w:rsid w:val="75345347"/>
    <w:rsid w:val="753A18C1"/>
    <w:rsid w:val="7A74630C"/>
    <w:rsid w:val="7A782B89"/>
    <w:rsid w:val="7D64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2020-12-10T02:26:00Z</dcterms:created>
  <dc:creator>徐霄飞</dc:creator>
  <cp:lastModifiedBy>反垄断局监察处</cp:lastModifiedBy>
  <cp:lastPrinted>2021-03-10T02:30:00Z</cp:lastPrinted>
  <dcterms:modified xsi:type="dcterms:W3CDTF">2021-07-06T06:30:13Z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