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B024" w14:textId="05D32BCF" w:rsidR="00D63620" w:rsidRPr="00E252D0" w:rsidRDefault="00E37A2B" w:rsidP="00E252D0">
      <w:pPr>
        <w:jc w:val="center"/>
        <w:rPr>
          <w:rFonts w:ascii="黑体" w:eastAsia="黑体" w:hAnsi="黑体" w:cs="黑体"/>
          <w:bCs/>
          <w:sz w:val="36"/>
          <w:szCs w:val="36"/>
        </w:rPr>
      </w:pPr>
      <w:r w:rsidRPr="00E252D0">
        <w:rPr>
          <w:rFonts w:ascii="黑体" w:eastAsia="黑体" w:hAnsi="黑体" w:cs="黑体" w:hint="eastAsia"/>
          <w:bCs/>
          <w:sz w:val="36"/>
          <w:szCs w:val="36"/>
        </w:rPr>
        <w:t>经营者集中简易案件公示表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1457"/>
        <w:gridCol w:w="5812"/>
      </w:tblGrid>
      <w:tr w:rsidR="00E37A2B" w:rsidRPr="00E37A2B" w14:paraId="203A1FB8" w14:textId="77777777" w:rsidTr="00E10469">
        <w:trPr>
          <w:trHeight w:val="581"/>
          <w:jc w:val="center"/>
        </w:trPr>
        <w:tc>
          <w:tcPr>
            <w:tcW w:w="1940" w:type="dxa"/>
            <w:shd w:val="clear" w:color="auto" w:fill="D9D9D9"/>
            <w:vAlign w:val="center"/>
          </w:tcPr>
          <w:p w14:paraId="646B31A6" w14:textId="77777777" w:rsidR="00E37A2B" w:rsidRPr="00E37A2B" w:rsidRDefault="00E37A2B" w:rsidP="00E10469">
            <w:pPr>
              <w:pStyle w:val="a7"/>
              <w:spacing w:after="0"/>
              <w:jc w:val="left"/>
              <w:rPr>
                <w:rFonts w:cs="Times New Roman"/>
                <w:b/>
                <w:bCs/>
                <w:lang w:val="en-US"/>
              </w:rPr>
            </w:pPr>
            <w:r w:rsidRPr="00E37A2B">
              <w:rPr>
                <w:rFonts w:cs="Times New Roman"/>
                <w:b/>
                <w:bCs/>
                <w:lang w:val="en-GB"/>
              </w:rPr>
              <w:t>案件名称</w:t>
            </w:r>
          </w:p>
        </w:tc>
        <w:tc>
          <w:tcPr>
            <w:tcW w:w="7269" w:type="dxa"/>
            <w:gridSpan w:val="2"/>
            <w:shd w:val="clear" w:color="auto" w:fill="auto"/>
          </w:tcPr>
          <w:p w14:paraId="7F5CA530" w14:textId="643B137B" w:rsidR="00E37A2B" w:rsidRPr="0029349D" w:rsidRDefault="00CA57BE" w:rsidP="00E1046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</w:rPr>
            </w:pPr>
            <w:r w:rsidRPr="0029349D">
              <w:rPr>
                <w:rFonts w:ascii="Times" w:hAnsi="Times" w:hint="eastAsia"/>
              </w:rPr>
              <w:t>贝莱德集团公司</w:t>
            </w:r>
            <w:r w:rsidR="00E37A2B" w:rsidRPr="0029349D">
              <w:rPr>
                <w:rFonts w:ascii="Times" w:hAnsi="Times" w:hint="eastAsia"/>
              </w:rPr>
              <w:t>与</w:t>
            </w:r>
            <w:r w:rsidRPr="0029349D">
              <w:rPr>
                <w:rFonts w:ascii="Times" w:hAnsi="Times" w:hint="eastAsia"/>
              </w:rPr>
              <w:t>高盛集团公司</w:t>
            </w:r>
            <w:r w:rsidR="00E37A2B" w:rsidRPr="0029349D">
              <w:rPr>
                <w:rFonts w:ascii="Times" w:hAnsi="Times" w:hint="eastAsia"/>
              </w:rPr>
              <w:t>等经营者收购</w:t>
            </w:r>
            <w:r w:rsidR="00D715F6" w:rsidRPr="0029349D">
              <w:rPr>
                <w:rFonts w:hint="eastAsia"/>
              </w:rPr>
              <w:t>Maple</w:t>
            </w:r>
            <w:r w:rsidR="00D715F6" w:rsidRPr="0029349D">
              <w:t xml:space="preserve"> T</w:t>
            </w:r>
            <w:r w:rsidR="00D715F6" w:rsidRPr="0029349D">
              <w:rPr>
                <w:rFonts w:hint="eastAsia"/>
              </w:rPr>
              <w:t>opco</w:t>
            </w:r>
            <w:r w:rsidR="00E37A2B" w:rsidRPr="0029349D">
              <w:rPr>
                <w:rFonts w:ascii="Times" w:hAnsi="Times" w:hint="eastAsia"/>
              </w:rPr>
              <w:t>有限公司等两家公司股权案</w:t>
            </w:r>
          </w:p>
        </w:tc>
      </w:tr>
      <w:tr w:rsidR="00E37A2B" w:rsidRPr="00E37A2B" w14:paraId="1EEBD10C" w14:textId="77777777" w:rsidTr="000701A3">
        <w:trPr>
          <w:trHeight w:val="993"/>
          <w:jc w:val="center"/>
        </w:trPr>
        <w:tc>
          <w:tcPr>
            <w:tcW w:w="1940" w:type="dxa"/>
            <w:shd w:val="clear" w:color="auto" w:fill="D9D9D9"/>
          </w:tcPr>
          <w:p w14:paraId="70DFA44B" w14:textId="77777777" w:rsidR="00E37A2B" w:rsidRPr="00E37A2B" w:rsidRDefault="00E37A2B" w:rsidP="00E10469">
            <w:pPr>
              <w:pStyle w:val="a7"/>
              <w:spacing w:after="0"/>
              <w:rPr>
                <w:rFonts w:cs="Times New Roman"/>
                <w:b/>
                <w:bCs/>
                <w:lang w:val="en-US" w:eastAsia="zh-CN"/>
              </w:rPr>
            </w:pPr>
            <w:r w:rsidRPr="00E37A2B">
              <w:rPr>
                <w:rFonts w:cs="Times New Roman"/>
                <w:b/>
                <w:bCs/>
                <w:lang w:val="en-GB" w:eastAsia="zh-CN"/>
              </w:rPr>
              <w:t>交易概况（限</w:t>
            </w:r>
            <w:r w:rsidRPr="00E37A2B">
              <w:rPr>
                <w:rFonts w:cs="Times New Roman"/>
                <w:b/>
                <w:bCs/>
                <w:lang w:val="en-GB" w:eastAsia="zh-CN"/>
              </w:rPr>
              <w:t>200</w:t>
            </w:r>
            <w:r w:rsidRPr="00E37A2B">
              <w:rPr>
                <w:rFonts w:cs="Times New Roman"/>
                <w:b/>
                <w:bCs/>
                <w:lang w:val="en-GB" w:eastAsia="zh-CN"/>
              </w:rPr>
              <w:t>字内）</w:t>
            </w:r>
          </w:p>
        </w:tc>
        <w:tc>
          <w:tcPr>
            <w:tcW w:w="7269" w:type="dxa"/>
            <w:gridSpan w:val="2"/>
            <w:shd w:val="clear" w:color="auto" w:fill="auto"/>
          </w:tcPr>
          <w:p w14:paraId="20A78DED" w14:textId="77777777" w:rsidR="00E10469" w:rsidRDefault="00970F11" w:rsidP="00E10469">
            <w:pPr>
              <w:snapToGrid w:val="0"/>
              <w:spacing w:after="0"/>
            </w:pPr>
            <w:r w:rsidRPr="0029349D">
              <w:rPr>
                <w:rFonts w:hint="eastAsia"/>
              </w:rPr>
              <w:t>2</w:t>
            </w:r>
            <w:r w:rsidRPr="0029349D">
              <w:t>022</w:t>
            </w:r>
            <w:r w:rsidRPr="0029349D">
              <w:rPr>
                <w:rFonts w:hint="eastAsia"/>
              </w:rPr>
              <w:t>年</w:t>
            </w:r>
            <w:r w:rsidRPr="0029349D">
              <w:rPr>
                <w:rFonts w:hint="eastAsia"/>
              </w:rPr>
              <w:t>1</w:t>
            </w:r>
            <w:r w:rsidRPr="0029349D">
              <w:t>1</w:t>
            </w:r>
            <w:r w:rsidRPr="0029349D">
              <w:rPr>
                <w:rFonts w:hint="eastAsia"/>
              </w:rPr>
              <w:t>月</w:t>
            </w:r>
            <w:r w:rsidRPr="0029349D">
              <w:rPr>
                <w:rFonts w:hint="eastAsia"/>
              </w:rPr>
              <w:t>7</w:t>
            </w:r>
            <w:r w:rsidRPr="0029349D">
              <w:rPr>
                <w:rFonts w:hint="eastAsia"/>
              </w:rPr>
              <w:t>日，卡里森第一中间</w:t>
            </w:r>
            <w:r w:rsidR="0098608C">
              <w:rPr>
                <w:rFonts w:hint="eastAsia"/>
              </w:rPr>
              <w:t>有限</w:t>
            </w:r>
            <w:r w:rsidRPr="0029349D">
              <w:rPr>
                <w:rFonts w:hint="eastAsia"/>
              </w:rPr>
              <w:t>公司（“</w:t>
            </w:r>
            <w:r w:rsidRPr="0029349D">
              <w:rPr>
                <w:b/>
                <w:bCs/>
                <w:szCs w:val="21"/>
              </w:rPr>
              <w:t>第一中间公司</w:t>
            </w:r>
            <w:r w:rsidRPr="0029349D">
              <w:rPr>
                <w:rFonts w:hint="eastAsia"/>
                <w:szCs w:val="21"/>
              </w:rPr>
              <w:t>”）</w:t>
            </w:r>
            <w:r w:rsidRPr="0029349D">
              <w:rPr>
                <w:rFonts w:hint="eastAsia"/>
              </w:rPr>
              <w:t>与</w:t>
            </w:r>
            <w:r w:rsidRPr="0029349D">
              <w:t>E</w:t>
            </w:r>
            <w:r w:rsidRPr="0029349D">
              <w:rPr>
                <w:rFonts w:hint="eastAsia"/>
              </w:rPr>
              <w:t>quitix</w:t>
            </w:r>
            <w:r w:rsidRPr="0029349D">
              <w:t xml:space="preserve"> B</w:t>
            </w:r>
            <w:r w:rsidRPr="0029349D">
              <w:rPr>
                <w:rFonts w:hint="eastAsia"/>
              </w:rPr>
              <w:t>idco</w:t>
            </w:r>
            <w:r w:rsidRPr="0029349D">
              <w:t xml:space="preserve"> I</w:t>
            </w:r>
            <w:r w:rsidRPr="0029349D">
              <w:rPr>
                <w:rFonts w:hint="eastAsia"/>
              </w:rPr>
              <w:t>有限公司（“</w:t>
            </w:r>
            <w:r w:rsidRPr="0029349D">
              <w:rPr>
                <w:rFonts w:hint="eastAsia"/>
                <w:b/>
                <w:bCs/>
              </w:rPr>
              <w:t>Equitix</w:t>
            </w:r>
            <w:r w:rsidRPr="0029349D">
              <w:rPr>
                <w:b/>
                <w:bCs/>
              </w:rPr>
              <w:t xml:space="preserve"> B</w:t>
            </w:r>
            <w:r w:rsidRPr="0029349D">
              <w:rPr>
                <w:rFonts w:hint="eastAsia"/>
                <w:b/>
                <w:bCs/>
              </w:rPr>
              <w:t>idco</w:t>
            </w:r>
            <w:r w:rsidRPr="0029349D">
              <w:rPr>
                <w:rFonts w:hint="eastAsia"/>
              </w:rPr>
              <w:t>”）签订</w:t>
            </w:r>
            <w:r w:rsidR="00497244" w:rsidRPr="0029349D">
              <w:rPr>
                <w:rFonts w:hint="eastAsia"/>
              </w:rPr>
              <w:t>协议</w:t>
            </w:r>
            <w:r w:rsidRPr="0029349D">
              <w:rPr>
                <w:rFonts w:hint="eastAsia"/>
              </w:rPr>
              <w:t>，</w:t>
            </w:r>
            <w:r w:rsidR="00DE4B88" w:rsidRPr="0029349D">
              <w:rPr>
                <w:rFonts w:hint="eastAsia"/>
              </w:rPr>
              <w:t>拟</w:t>
            </w:r>
            <w:r w:rsidRPr="0029349D">
              <w:rPr>
                <w:rFonts w:hint="eastAsia"/>
              </w:rPr>
              <w:t>从</w:t>
            </w:r>
            <w:r w:rsidRPr="0029349D">
              <w:rPr>
                <w:rFonts w:hint="eastAsia"/>
              </w:rPr>
              <w:t>Equitix Bidco</w:t>
            </w:r>
            <w:r w:rsidRPr="0029349D">
              <w:rPr>
                <w:rFonts w:hint="eastAsia"/>
              </w:rPr>
              <w:t>购买</w:t>
            </w:r>
            <w:r w:rsidRPr="0029349D">
              <w:rPr>
                <w:rFonts w:hint="eastAsia"/>
              </w:rPr>
              <w:t>Maple</w:t>
            </w:r>
            <w:r w:rsidRPr="0029349D">
              <w:t xml:space="preserve"> T</w:t>
            </w:r>
            <w:r w:rsidRPr="0029349D">
              <w:rPr>
                <w:rFonts w:hint="eastAsia"/>
              </w:rPr>
              <w:t>opco</w:t>
            </w:r>
            <w:r w:rsidRPr="0029349D">
              <w:rPr>
                <w:rFonts w:hint="eastAsia"/>
              </w:rPr>
              <w:t>有限公司（“</w:t>
            </w:r>
            <w:r w:rsidRPr="0029349D">
              <w:rPr>
                <w:b/>
                <w:bCs/>
              </w:rPr>
              <w:t>MapleCo</w:t>
            </w:r>
            <w:r w:rsidRPr="0029349D">
              <w:rPr>
                <w:rFonts w:hint="eastAsia"/>
              </w:rPr>
              <w:t>”）</w:t>
            </w:r>
            <w:r w:rsidRPr="0029349D">
              <w:rPr>
                <w:rFonts w:hint="eastAsia"/>
              </w:rPr>
              <w:t>100%</w:t>
            </w:r>
            <w:r w:rsidRPr="0029349D">
              <w:rPr>
                <w:rFonts w:hint="eastAsia"/>
              </w:rPr>
              <w:t>的股份。</w:t>
            </w:r>
            <w:r w:rsidR="00497244" w:rsidRPr="0029349D">
              <w:t>MapleCo</w:t>
            </w:r>
            <w:r w:rsidR="00497244" w:rsidRPr="0029349D">
              <w:rPr>
                <w:rFonts w:hint="eastAsia"/>
              </w:rPr>
              <w:t>主要从事仪表资产提供服务。</w:t>
            </w:r>
          </w:p>
          <w:p w14:paraId="7A96319F" w14:textId="6EFAA562" w:rsidR="00E10469" w:rsidRDefault="00970F11" w:rsidP="00E10469">
            <w:pPr>
              <w:snapToGrid w:val="0"/>
              <w:spacing w:after="0"/>
            </w:pPr>
            <w:r w:rsidRPr="0029349D">
              <w:rPr>
                <w:rFonts w:hint="eastAsia"/>
              </w:rPr>
              <w:t>同日，第一中间公司的现有股东与</w:t>
            </w:r>
            <w:r w:rsidRPr="0029349D">
              <w:rPr>
                <w:rFonts w:hint="eastAsia"/>
              </w:rPr>
              <w:t>Equitix Bidco</w:t>
            </w:r>
            <w:r w:rsidRPr="0029349D">
              <w:rPr>
                <w:rFonts w:hint="eastAsia"/>
              </w:rPr>
              <w:t>签订协议，</w:t>
            </w:r>
            <w:r w:rsidR="00DE4B88" w:rsidRPr="0029349D">
              <w:rPr>
                <w:rFonts w:hint="eastAsia"/>
              </w:rPr>
              <w:t>拟</w:t>
            </w:r>
            <w:r w:rsidRPr="0029349D">
              <w:rPr>
                <w:rFonts w:hint="eastAsia"/>
              </w:rPr>
              <w:t>向</w:t>
            </w:r>
            <w:r w:rsidRPr="0029349D">
              <w:rPr>
                <w:rFonts w:hint="eastAsia"/>
              </w:rPr>
              <w:t>Equitix Bidco</w:t>
            </w:r>
            <w:r w:rsidRPr="0029349D">
              <w:rPr>
                <w:rFonts w:hint="eastAsia"/>
              </w:rPr>
              <w:t>出售其持有的第一中间公司</w:t>
            </w:r>
            <w:r w:rsidR="001A3A98" w:rsidRPr="001A3A98">
              <w:t>32.7-42.0%</w:t>
            </w:r>
            <w:r w:rsidR="001A3A98">
              <w:rPr>
                <w:rFonts w:hint="eastAsia"/>
              </w:rPr>
              <w:t>的</w:t>
            </w:r>
            <w:r w:rsidRPr="0029349D">
              <w:rPr>
                <w:rFonts w:hint="eastAsia"/>
              </w:rPr>
              <w:t>股份。</w:t>
            </w:r>
            <w:r w:rsidR="00497244" w:rsidRPr="0029349D">
              <w:rPr>
                <w:rFonts w:hint="eastAsia"/>
              </w:rPr>
              <w:t>第一中间公司是一家投资控股公司。</w:t>
            </w:r>
          </w:p>
          <w:p w14:paraId="12919AAB" w14:textId="6568A531" w:rsidR="00970F11" w:rsidRPr="0029349D" w:rsidRDefault="00DD3A2C" w:rsidP="00E10469">
            <w:pPr>
              <w:snapToGrid w:val="0"/>
              <w:spacing w:after="0"/>
            </w:pPr>
            <w:r>
              <w:rPr>
                <w:rFonts w:hint="eastAsia"/>
              </w:rPr>
              <w:t>上述</w:t>
            </w:r>
            <w:r w:rsidR="00970F11" w:rsidRPr="0029349D">
              <w:rPr>
                <w:rFonts w:hint="eastAsia"/>
              </w:rPr>
              <w:t>两份协议互为条件。</w:t>
            </w:r>
          </w:p>
          <w:p w14:paraId="38040C6E" w14:textId="211CE870" w:rsidR="00E90E47" w:rsidRPr="0029349D" w:rsidRDefault="001E4C9A" w:rsidP="00E10469">
            <w:pPr>
              <w:snapToGrid w:val="0"/>
              <w:spacing w:after="0"/>
            </w:pPr>
            <w:r w:rsidRPr="0029349D">
              <w:rPr>
                <w:rFonts w:hint="eastAsia"/>
                <w:bCs/>
                <w:iCs/>
              </w:rPr>
              <w:t>交易前，</w:t>
            </w:r>
            <w:r w:rsidR="0094657A" w:rsidRPr="0029349D">
              <w:rPr>
                <w:rFonts w:hint="eastAsia"/>
              </w:rPr>
              <w:t>（</w:t>
            </w:r>
            <w:r w:rsidR="0094657A" w:rsidRPr="0029349D">
              <w:rPr>
                <w:rFonts w:hint="eastAsia"/>
              </w:rPr>
              <w:t>1</w:t>
            </w:r>
            <w:r w:rsidR="0094657A" w:rsidRPr="0029349D">
              <w:rPr>
                <w:rFonts w:hint="eastAsia"/>
              </w:rPr>
              <w:t>）</w:t>
            </w:r>
            <w:r w:rsidRPr="0029349D">
              <w:rPr>
                <w:rFonts w:hint="eastAsia"/>
              </w:rPr>
              <w:t>Equitix</w:t>
            </w:r>
            <w:r w:rsidRPr="0029349D">
              <w:t xml:space="preserve"> B</w:t>
            </w:r>
            <w:r w:rsidRPr="0029349D">
              <w:rPr>
                <w:rFonts w:hint="eastAsia"/>
              </w:rPr>
              <w:t>idco</w:t>
            </w:r>
            <w:r w:rsidR="00970F11" w:rsidRPr="0029349D">
              <w:rPr>
                <w:rFonts w:hint="eastAsia"/>
              </w:rPr>
              <w:t>全资持有</w:t>
            </w:r>
            <w:r w:rsidR="00DE4B88" w:rsidRPr="0029349D">
              <w:rPr>
                <w:rFonts w:hint="eastAsia"/>
              </w:rPr>
              <w:t>MapleCo</w:t>
            </w:r>
            <w:r w:rsidR="00DE4B88" w:rsidRPr="0029349D">
              <w:rPr>
                <w:rFonts w:hint="eastAsia"/>
              </w:rPr>
              <w:t>的股份</w:t>
            </w:r>
            <w:r w:rsidR="00970F11" w:rsidRPr="0029349D">
              <w:rPr>
                <w:rFonts w:hint="eastAsia"/>
              </w:rPr>
              <w:t>并</w:t>
            </w:r>
            <w:r w:rsidRPr="0029349D">
              <w:rPr>
                <w:rFonts w:hint="eastAsia"/>
              </w:rPr>
              <w:t>单独控制</w:t>
            </w:r>
            <w:r w:rsidR="00DE4B88" w:rsidRPr="0029349D">
              <w:t>MapleCo</w:t>
            </w:r>
            <w:r w:rsidR="0094657A" w:rsidRPr="0029349D">
              <w:rPr>
                <w:rFonts w:hint="eastAsia"/>
              </w:rPr>
              <w:t>；（</w:t>
            </w:r>
            <w:r w:rsidR="0094657A" w:rsidRPr="0029349D">
              <w:rPr>
                <w:rFonts w:hint="eastAsia"/>
              </w:rPr>
              <w:t>2</w:t>
            </w:r>
            <w:r w:rsidR="0094657A" w:rsidRPr="0029349D">
              <w:rPr>
                <w:rFonts w:hint="eastAsia"/>
              </w:rPr>
              <w:t>）</w:t>
            </w:r>
            <w:r w:rsidR="00970F11" w:rsidRPr="0029349D">
              <w:rPr>
                <w:rFonts w:hint="eastAsia"/>
              </w:rPr>
              <w:t>贝莱德集团公司（“</w:t>
            </w:r>
            <w:r w:rsidR="00970F11" w:rsidRPr="0029349D">
              <w:rPr>
                <w:rFonts w:hint="eastAsia"/>
                <w:b/>
                <w:bCs/>
              </w:rPr>
              <w:t>贝莱德</w:t>
            </w:r>
            <w:r w:rsidR="00970F11" w:rsidRPr="0029349D">
              <w:rPr>
                <w:rFonts w:hint="eastAsia"/>
              </w:rPr>
              <w:t>”）</w:t>
            </w:r>
            <w:r w:rsidR="00111229">
              <w:rPr>
                <w:rFonts w:hint="eastAsia"/>
              </w:rPr>
              <w:t>、</w:t>
            </w:r>
            <w:r w:rsidR="00111229" w:rsidRPr="0029349D">
              <w:rPr>
                <w:rFonts w:hint="eastAsia"/>
              </w:rPr>
              <w:t>高盛集团公司（“</w:t>
            </w:r>
            <w:r w:rsidR="00111229" w:rsidRPr="0029349D">
              <w:rPr>
                <w:rFonts w:hint="eastAsia"/>
                <w:b/>
                <w:bCs/>
              </w:rPr>
              <w:t>高盛</w:t>
            </w:r>
            <w:r w:rsidR="00111229" w:rsidRPr="0029349D">
              <w:rPr>
                <w:rFonts w:hint="eastAsia"/>
              </w:rPr>
              <w:t>”）</w:t>
            </w:r>
            <w:r w:rsidR="00970F11" w:rsidRPr="0029349D">
              <w:rPr>
                <w:rFonts w:hint="eastAsia"/>
              </w:rPr>
              <w:t>和第十九投资公司（“</w:t>
            </w:r>
            <w:r w:rsidR="00970F11" w:rsidRPr="0029349D">
              <w:rPr>
                <w:rFonts w:hint="eastAsia"/>
                <w:b/>
                <w:bCs/>
              </w:rPr>
              <w:t>第十九投资</w:t>
            </w:r>
            <w:r w:rsidR="00970F11" w:rsidRPr="0029349D">
              <w:rPr>
                <w:rFonts w:hint="eastAsia"/>
              </w:rPr>
              <w:t>”）</w:t>
            </w:r>
            <w:r w:rsidR="000C5781">
              <w:rPr>
                <w:rFonts w:hint="eastAsia"/>
              </w:rPr>
              <w:t>通过关联实体</w:t>
            </w:r>
            <w:r w:rsidR="000C359A" w:rsidRPr="0029349D">
              <w:rPr>
                <w:rFonts w:hint="eastAsia"/>
              </w:rPr>
              <w:t>间接</w:t>
            </w:r>
            <w:r w:rsidR="0029349D" w:rsidRPr="0029349D">
              <w:rPr>
                <w:rFonts w:hint="eastAsia"/>
              </w:rPr>
              <w:t>全资</w:t>
            </w:r>
            <w:r w:rsidR="0094657A" w:rsidRPr="0029349D">
              <w:rPr>
                <w:rFonts w:hint="eastAsia"/>
              </w:rPr>
              <w:t>持有</w:t>
            </w:r>
            <w:r w:rsidR="00DE4B88" w:rsidRPr="0029349D">
              <w:rPr>
                <w:rFonts w:hint="eastAsia"/>
              </w:rPr>
              <w:t>第一中间公司</w:t>
            </w:r>
            <w:r w:rsidR="00BB4A20" w:rsidRPr="0029349D">
              <w:rPr>
                <w:rFonts w:hint="eastAsia"/>
              </w:rPr>
              <w:t>的</w:t>
            </w:r>
            <w:r w:rsidR="00DE4B88" w:rsidRPr="0029349D">
              <w:rPr>
                <w:rFonts w:hint="eastAsia"/>
              </w:rPr>
              <w:t>股份</w:t>
            </w:r>
            <w:r w:rsidR="00B1576B">
              <w:rPr>
                <w:rFonts w:hint="eastAsia"/>
              </w:rPr>
              <w:t>（持股比例分别为</w:t>
            </w:r>
            <w:r w:rsidR="00B1576B">
              <w:rPr>
                <w:rFonts w:hint="eastAsia"/>
              </w:rPr>
              <w:t>4</w:t>
            </w:r>
            <w:r w:rsidR="00B1576B">
              <w:t>7%</w:t>
            </w:r>
            <w:r w:rsidR="00B1576B">
              <w:rPr>
                <w:rFonts w:hint="eastAsia"/>
              </w:rPr>
              <w:t>、</w:t>
            </w:r>
            <w:r w:rsidR="00B1576B">
              <w:rPr>
                <w:rFonts w:hint="eastAsia"/>
              </w:rPr>
              <w:t>3</w:t>
            </w:r>
            <w:r w:rsidR="00B1576B">
              <w:t>6%</w:t>
            </w:r>
            <w:r w:rsidR="00B1576B">
              <w:rPr>
                <w:rFonts w:hint="eastAsia"/>
              </w:rPr>
              <w:t>和</w:t>
            </w:r>
            <w:r w:rsidR="00B1576B">
              <w:rPr>
                <w:rFonts w:hint="eastAsia"/>
              </w:rPr>
              <w:t>1</w:t>
            </w:r>
            <w:r w:rsidR="00B1576B">
              <w:t>7%</w:t>
            </w:r>
            <w:r w:rsidR="00B1576B">
              <w:rPr>
                <w:rFonts w:hint="eastAsia"/>
              </w:rPr>
              <w:t>），</w:t>
            </w:r>
            <w:r w:rsidR="0094657A" w:rsidRPr="0029349D">
              <w:rPr>
                <w:rFonts w:hint="eastAsia"/>
              </w:rPr>
              <w:t>并</w:t>
            </w:r>
            <w:r w:rsidR="00D63620">
              <w:rPr>
                <w:rFonts w:hint="eastAsia"/>
              </w:rPr>
              <w:t>间接</w:t>
            </w:r>
            <w:r w:rsidR="000C359A" w:rsidRPr="0029349D">
              <w:rPr>
                <w:rFonts w:hint="eastAsia"/>
              </w:rPr>
              <w:t>共同控制</w:t>
            </w:r>
            <w:r w:rsidR="00DE4B88" w:rsidRPr="0029349D">
              <w:rPr>
                <w:rFonts w:hint="eastAsia"/>
              </w:rPr>
              <w:t>第一中间公司</w:t>
            </w:r>
            <w:r w:rsidRPr="0029349D">
              <w:rPr>
                <w:rFonts w:hint="eastAsia"/>
              </w:rPr>
              <w:t>。</w:t>
            </w:r>
          </w:p>
          <w:p w14:paraId="4EAEB1E7" w14:textId="5D70F512" w:rsidR="00E37A2B" w:rsidRPr="00E10469" w:rsidRDefault="001E4C9A" w:rsidP="00E10469">
            <w:pPr>
              <w:snapToGrid w:val="0"/>
              <w:spacing w:after="0"/>
              <w:rPr>
                <w:bCs/>
                <w:iCs/>
              </w:rPr>
            </w:pPr>
            <w:r w:rsidRPr="0029349D">
              <w:rPr>
                <w:rFonts w:hint="eastAsia"/>
              </w:rPr>
              <w:t>交易后，</w:t>
            </w:r>
            <w:r w:rsidR="00F20546" w:rsidRPr="0029349D">
              <w:rPr>
                <w:rFonts w:hint="eastAsia"/>
              </w:rPr>
              <w:t>第一中间公司</w:t>
            </w:r>
            <w:r w:rsidR="00DE4B88" w:rsidRPr="0029349D">
              <w:rPr>
                <w:rFonts w:hint="eastAsia"/>
              </w:rPr>
              <w:t>将</w:t>
            </w:r>
            <w:r w:rsidR="00F16A72" w:rsidRPr="0029349D">
              <w:rPr>
                <w:rFonts w:hint="eastAsia"/>
              </w:rPr>
              <w:t>全资</w:t>
            </w:r>
            <w:r w:rsidR="00F20546" w:rsidRPr="0029349D">
              <w:rPr>
                <w:rFonts w:hint="eastAsia"/>
              </w:rPr>
              <w:t>持有</w:t>
            </w:r>
            <w:r w:rsidR="00DE4B88" w:rsidRPr="0029349D">
              <w:t>MapleCo</w:t>
            </w:r>
            <w:r w:rsidR="00BB4A20" w:rsidRPr="0029349D">
              <w:rPr>
                <w:rFonts w:hint="eastAsia"/>
              </w:rPr>
              <w:t>的</w:t>
            </w:r>
            <w:r w:rsidR="00DE4B88" w:rsidRPr="0029349D">
              <w:rPr>
                <w:rFonts w:hint="eastAsia"/>
              </w:rPr>
              <w:t>股份并单独控制</w:t>
            </w:r>
            <w:r w:rsidR="00DE4B88" w:rsidRPr="0029349D">
              <w:t>MapleCo</w:t>
            </w:r>
            <w:r w:rsidR="00F20546" w:rsidRPr="0029349D">
              <w:rPr>
                <w:rFonts w:hint="eastAsia"/>
              </w:rPr>
              <w:t>，而</w:t>
            </w:r>
            <w:r w:rsidR="00E90E47" w:rsidRPr="0029349D">
              <w:rPr>
                <w:rFonts w:hint="eastAsia"/>
              </w:rPr>
              <w:t>贝莱德、</w:t>
            </w:r>
            <w:r w:rsidR="00111229" w:rsidRPr="0029349D">
              <w:rPr>
                <w:rFonts w:hint="eastAsia"/>
              </w:rPr>
              <w:t>高盛、</w:t>
            </w:r>
            <w:r w:rsidR="00E90E47" w:rsidRPr="0029349D">
              <w:rPr>
                <w:rFonts w:hint="eastAsia"/>
              </w:rPr>
              <w:t>第十九投资和</w:t>
            </w:r>
            <w:r w:rsidR="00E90E47" w:rsidRPr="0029349D">
              <w:rPr>
                <w:rFonts w:hint="eastAsia"/>
              </w:rPr>
              <w:t>Equitix</w:t>
            </w:r>
            <w:r w:rsidR="00E90E47" w:rsidRPr="0029349D">
              <w:t xml:space="preserve"> B</w:t>
            </w:r>
            <w:r w:rsidR="00E90E47" w:rsidRPr="0029349D">
              <w:rPr>
                <w:rFonts w:hint="eastAsia"/>
              </w:rPr>
              <w:t>idco</w:t>
            </w:r>
            <w:r w:rsidR="00DE4B88" w:rsidRPr="0029349D">
              <w:rPr>
                <w:rFonts w:hint="eastAsia"/>
              </w:rPr>
              <w:t>将</w:t>
            </w:r>
            <w:r w:rsidR="000C5781">
              <w:rPr>
                <w:rFonts w:hint="eastAsia"/>
              </w:rPr>
              <w:t>通过关联实体</w:t>
            </w:r>
            <w:r w:rsidR="00BB4A20" w:rsidRPr="0029349D">
              <w:rPr>
                <w:rFonts w:hint="eastAsia"/>
              </w:rPr>
              <w:t>间接</w:t>
            </w:r>
            <w:r w:rsidR="0029349D" w:rsidRPr="0029349D">
              <w:rPr>
                <w:rFonts w:hint="eastAsia"/>
              </w:rPr>
              <w:t>全资</w:t>
            </w:r>
            <w:r w:rsidR="00DE4B88" w:rsidRPr="0029349D">
              <w:rPr>
                <w:rFonts w:hint="eastAsia"/>
              </w:rPr>
              <w:t>持有第一中间公司的股份</w:t>
            </w:r>
            <w:r w:rsidR="00B1576B">
              <w:rPr>
                <w:rFonts w:hint="eastAsia"/>
              </w:rPr>
              <w:t>（持股比例</w:t>
            </w:r>
            <w:r w:rsidR="00082422">
              <w:rPr>
                <w:rFonts w:hint="eastAsia"/>
              </w:rPr>
              <w:t>区间</w:t>
            </w:r>
            <w:r w:rsidR="00B1576B">
              <w:rPr>
                <w:rFonts w:hint="eastAsia"/>
              </w:rPr>
              <w:t>分别为</w:t>
            </w:r>
            <w:r w:rsidR="00B1576B" w:rsidRPr="00B1576B">
              <w:t>27.2-31.5%</w:t>
            </w:r>
            <w:r w:rsidR="00B1576B">
              <w:rPr>
                <w:rFonts w:hint="eastAsia"/>
              </w:rPr>
              <w:t>、</w:t>
            </w:r>
            <w:r w:rsidR="00B1576B" w:rsidRPr="00B1576B">
              <w:t>21.0-24.3%</w:t>
            </w:r>
            <w:r w:rsidR="00B1576B">
              <w:rPr>
                <w:rFonts w:hint="eastAsia"/>
              </w:rPr>
              <w:t>、</w:t>
            </w:r>
            <w:r w:rsidR="00B1576B" w:rsidRPr="00B1576B">
              <w:t>9.8-11.4%</w:t>
            </w:r>
            <w:r w:rsidR="00B1576B">
              <w:rPr>
                <w:rFonts w:hint="eastAsia"/>
              </w:rPr>
              <w:t>和</w:t>
            </w:r>
            <w:r w:rsidR="00B1576B" w:rsidRPr="00B1576B">
              <w:t>32.7-42.0%</w:t>
            </w:r>
            <w:r w:rsidR="00B1576B">
              <w:rPr>
                <w:rFonts w:hint="eastAsia"/>
              </w:rPr>
              <w:t>），</w:t>
            </w:r>
            <w:r w:rsidR="00DE4B88" w:rsidRPr="0029349D">
              <w:rPr>
                <w:rFonts w:hint="eastAsia"/>
              </w:rPr>
              <w:t>并</w:t>
            </w:r>
            <w:r w:rsidR="00E252D0">
              <w:rPr>
                <w:rFonts w:hint="eastAsia"/>
              </w:rPr>
              <w:t>间接</w:t>
            </w:r>
            <w:r w:rsidR="00E90E47" w:rsidRPr="0029349D">
              <w:rPr>
                <w:rFonts w:hint="eastAsia"/>
              </w:rPr>
              <w:t>共同控制</w:t>
            </w:r>
            <w:r w:rsidR="00DE4B88" w:rsidRPr="0029349D">
              <w:rPr>
                <w:rFonts w:hint="eastAsia"/>
              </w:rPr>
              <w:t>第一中间公司</w:t>
            </w:r>
            <w:r w:rsidR="00E90E47" w:rsidRPr="0029349D">
              <w:rPr>
                <w:rFonts w:hint="eastAsia"/>
              </w:rPr>
              <w:t>。</w:t>
            </w:r>
          </w:p>
        </w:tc>
      </w:tr>
      <w:tr w:rsidR="00BB4A20" w:rsidRPr="00E37A2B" w14:paraId="2CB48CC0" w14:textId="77777777" w:rsidTr="000701A3">
        <w:trPr>
          <w:trHeight w:val="675"/>
          <w:jc w:val="center"/>
        </w:trPr>
        <w:tc>
          <w:tcPr>
            <w:tcW w:w="1940" w:type="dxa"/>
            <w:vMerge w:val="restart"/>
            <w:shd w:val="clear" w:color="auto" w:fill="D9D9D9"/>
          </w:tcPr>
          <w:p w14:paraId="6ACC0F86" w14:textId="4E514BB1" w:rsidR="00BB4A20" w:rsidRPr="00E37A2B" w:rsidRDefault="00BB4A20" w:rsidP="00E10469">
            <w:pPr>
              <w:pStyle w:val="a7"/>
              <w:spacing w:after="0"/>
              <w:rPr>
                <w:rFonts w:cs="Times New Roman"/>
                <w:lang w:val="en-US" w:eastAsia="zh-CN"/>
              </w:rPr>
            </w:pPr>
            <w:r w:rsidRPr="00E37A2B">
              <w:rPr>
                <w:rFonts w:cs="Times New Roman"/>
                <w:b/>
                <w:bCs/>
                <w:lang w:val="en-GB" w:eastAsia="zh-CN"/>
              </w:rPr>
              <w:t>参与集中的经营者简介</w:t>
            </w:r>
          </w:p>
        </w:tc>
        <w:tc>
          <w:tcPr>
            <w:tcW w:w="1457" w:type="dxa"/>
            <w:shd w:val="clear" w:color="auto" w:fill="auto"/>
          </w:tcPr>
          <w:p w14:paraId="317C6F02" w14:textId="32F8DFF8" w:rsidR="00BB4A20" w:rsidRPr="00E37A2B" w:rsidRDefault="00BB4A20" w:rsidP="00E1046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firstLineChars="0"/>
              <w:rPr>
                <w:rFonts w:ascii="Times" w:hAnsi="Times"/>
              </w:rPr>
            </w:pPr>
            <w:r>
              <w:rPr>
                <w:rFonts w:hint="eastAsia"/>
                <w:bCs/>
                <w:iCs/>
              </w:rPr>
              <w:t>贝莱德</w:t>
            </w:r>
          </w:p>
        </w:tc>
        <w:tc>
          <w:tcPr>
            <w:tcW w:w="5812" w:type="dxa"/>
            <w:shd w:val="clear" w:color="auto" w:fill="auto"/>
          </w:tcPr>
          <w:p w14:paraId="42A44BB6" w14:textId="2C0C7AA5" w:rsidR="00BB4A20" w:rsidRDefault="00BB4A20" w:rsidP="00E10469">
            <w:pPr>
              <w:snapToGrid w:val="0"/>
              <w:spacing w:after="0"/>
              <w:rPr>
                <w:rFonts w:ascii="Times" w:hAnsi="Times"/>
              </w:rPr>
            </w:pPr>
            <w:r>
              <w:rPr>
                <w:rFonts w:ascii="Times" w:hAnsi="Times" w:hint="eastAsia"/>
              </w:rPr>
              <w:t>贝莱德</w:t>
            </w:r>
            <w:r>
              <w:rPr>
                <w:rFonts w:ascii="Times" w:hAnsi="Times" w:hint="eastAsia"/>
              </w:rPr>
              <w:t>1</w:t>
            </w:r>
            <w:r>
              <w:rPr>
                <w:rFonts w:ascii="Times" w:hAnsi="Times"/>
              </w:rPr>
              <w:t>988</w:t>
            </w:r>
            <w:r w:rsidRPr="00E37A2B">
              <w:rPr>
                <w:rFonts w:hint="eastAsia"/>
                <w:kern w:val="2"/>
              </w:rPr>
              <w:t>年成</w:t>
            </w:r>
            <w:r>
              <w:rPr>
                <w:rFonts w:ascii="Times" w:hAnsi="Times" w:hint="eastAsia"/>
              </w:rPr>
              <w:t>立于美国，为纽约证券交易所上市公司，</w:t>
            </w:r>
            <w:r w:rsidRPr="00794A7A">
              <w:rPr>
                <w:rFonts w:ascii="Times" w:hAnsi="Times" w:hint="eastAsia"/>
              </w:rPr>
              <w:t>为世界各地的机构和零售客户提供全球投资管理、风险管理和咨询服务</w:t>
            </w:r>
            <w:r>
              <w:rPr>
                <w:rFonts w:ascii="Times" w:hAnsi="Times" w:hint="eastAsia"/>
              </w:rPr>
              <w:t>。</w:t>
            </w:r>
          </w:p>
          <w:p w14:paraId="6AF74F92" w14:textId="5595AE4F" w:rsidR="00BB4A20" w:rsidRPr="00E37A2B" w:rsidRDefault="00BB4A20" w:rsidP="00E10469">
            <w:pPr>
              <w:snapToGrid w:val="0"/>
              <w:spacing w:after="0"/>
              <w:rPr>
                <w:rFonts w:ascii="Times" w:hAnsi="Times"/>
              </w:rPr>
            </w:pPr>
            <w:r>
              <w:rPr>
                <w:rFonts w:ascii="Times" w:hAnsi="Times" w:hint="eastAsia"/>
              </w:rPr>
              <w:t>贝莱德</w:t>
            </w:r>
            <w:proofErr w:type="gramStart"/>
            <w:r>
              <w:rPr>
                <w:rFonts w:ascii="Times" w:hAnsi="Times" w:hint="eastAsia"/>
              </w:rPr>
              <w:t>无最终</w:t>
            </w:r>
            <w:proofErr w:type="gramEnd"/>
            <w:r>
              <w:rPr>
                <w:rFonts w:ascii="Times" w:hAnsi="Times" w:hint="eastAsia"/>
              </w:rPr>
              <w:t>控制人。</w:t>
            </w:r>
          </w:p>
        </w:tc>
      </w:tr>
      <w:tr w:rsidR="00BB4A20" w:rsidRPr="00E37A2B" w14:paraId="4046E69E" w14:textId="77777777" w:rsidTr="000701A3">
        <w:trPr>
          <w:trHeight w:val="675"/>
          <w:jc w:val="center"/>
        </w:trPr>
        <w:tc>
          <w:tcPr>
            <w:tcW w:w="1940" w:type="dxa"/>
            <w:vMerge/>
            <w:shd w:val="clear" w:color="auto" w:fill="D9D9D9"/>
          </w:tcPr>
          <w:p w14:paraId="1D04DC57" w14:textId="77777777" w:rsidR="00BB4A20" w:rsidRPr="00E37A2B" w:rsidRDefault="00BB4A20" w:rsidP="00E10469">
            <w:pPr>
              <w:pStyle w:val="a7"/>
              <w:spacing w:after="0"/>
              <w:rPr>
                <w:rFonts w:cs="Times New Roman"/>
                <w:lang w:val="en-US" w:eastAsia="zh-CN"/>
              </w:rPr>
            </w:pPr>
          </w:p>
        </w:tc>
        <w:tc>
          <w:tcPr>
            <w:tcW w:w="1457" w:type="dxa"/>
            <w:shd w:val="clear" w:color="auto" w:fill="auto"/>
          </w:tcPr>
          <w:p w14:paraId="5E85AF13" w14:textId="109F9012" w:rsidR="00BB4A20" w:rsidRDefault="00BB4A20" w:rsidP="00E1046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firstLineChars="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高盛</w:t>
            </w:r>
          </w:p>
        </w:tc>
        <w:tc>
          <w:tcPr>
            <w:tcW w:w="5812" w:type="dxa"/>
            <w:shd w:val="clear" w:color="auto" w:fill="auto"/>
          </w:tcPr>
          <w:p w14:paraId="5466C560" w14:textId="77777777" w:rsidR="00BB4A20" w:rsidRDefault="00BB4A20" w:rsidP="00E10469">
            <w:pPr>
              <w:snapToGrid w:val="0"/>
              <w:spacing w:after="0"/>
              <w:rPr>
                <w:rFonts w:ascii="Times" w:hAnsi="Times"/>
              </w:rPr>
            </w:pPr>
            <w:r w:rsidRPr="00E37A2B">
              <w:rPr>
                <w:rFonts w:ascii="Times" w:hAnsi="Times" w:hint="eastAsia"/>
              </w:rPr>
              <w:t>高盛</w:t>
            </w:r>
            <w:r>
              <w:rPr>
                <w:rFonts w:ascii="Times" w:hAnsi="Times" w:hint="eastAsia"/>
              </w:rPr>
              <w:t>1</w:t>
            </w:r>
            <w:r>
              <w:rPr>
                <w:rFonts w:ascii="Times" w:hAnsi="Times"/>
              </w:rPr>
              <w:t>869</w:t>
            </w:r>
            <w:r w:rsidRPr="00E37A2B">
              <w:rPr>
                <w:rFonts w:hint="eastAsia"/>
                <w:kern w:val="2"/>
              </w:rPr>
              <w:t>年成</w:t>
            </w:r>
            <w:r>
              <w:rPr>
                <w:rFonts w:ascii="Times" w:hAnsi="Times" w:hint="eastAsia"/>
              </w:rPr>
              <w:t>立于美国，为纽约证券交易所上市公司，</w:t>
            </w:r>
            <w:r w:rsidRPr="00E37A2B">
              <w:rPr>
                <w:rFonts w:ascii="Times" w:hAnsi="Times" w:hint="eastAsia"/>
              </w:rPr>
              <w:t>在全球范围内为企业、金融机构、政府和高财富净值个人等各领域的众多客户提供一系列银行、证券和投资服务。</w:t>
            </w:r>
          </w:p>
          <w:p w14:paraId="499A51F4" w14:textId="6A4CFD34" w:rsidR="00BB4A20" w:rsidRDefault="00BB4A20" w:rsidP="00E10469">
            <w:pPr>
              <w:snapToGrid w:val="0"/>
              <w:spacing w:after="0"/>
              <w:rPr>
                <w:rFonts w:ascii="Times" w:hAnsi="Times"/>
              </w:rPr>
            </w:pPr>
            <w:r>
              <w:rPr>
                <w:rFonts w:ascii="Times" w:hAnsi="Times" w:hint="eastAsia"/>
              </w:rPr>
              <w:t>高盛</w:t>
            </w:r>
            <w:proofErr w:type="gramStart"/>
            <w:r>
              <w:rPr>
                <w:rFonts w:ascii="Times" w:hAnsi="Times" w:hint="eastAsia"/>
              </w:rPr>
              <w:t>无最终</w:t>
            </w:r>
            <w:proofErr w:type="gramEnd"/>
            <w:r>
              <w:rPr>
                <w:rFonts w:ascii="Times" w:hAnsi="Times" w:hint="eastAsia"/>
              </w:rPr>
              <w:t>控制人。</w:t>
            </w:r>
          </w:p>
        </w:tc>
      </w:tr>
      <w:tr w:rsidR="00BB4A20" w:rsidRPr="00E37A2B" w14:paraId="50AF7FA7" w14:textId="77777777" w:rsidTr="000701A3">
        <w:trPr>
          <w:trHeight w:val="700"/>
          <w:jc w:val="center"/>
        </w:trPr>
        <w:tc>
          <w:tcPr>
            <w:tcW w:w="1940" w:type="dxa"/>
            <w:vMerge/>
            <w:shd w:val="clear" w:color="auto" w:fill="D9D9D9"/>
          </w:tcPr>
          <w:p w14:paraId="25886D34" w14:textId="77777777" w:rsidR="00BB4A20" w:rsidRPr="00E37A2B" w:rsidRDefault="00BB4A20" w:rsidP="00E10469">
            <w:pPr>
              <w:pStyle w:val="a7"/>
              <w:spacing w:after="0"/>
              <w:rPr>
                <w:rFonts w:cs="Times New Roman"/>
                <w:lang w:val="en-US" w:eastAsia="zh-CN"/>
              </w:rPr>
            </w:pPr>
          </w:p>
        </w:tc>
        <w:tc>
          <w:tcPr>
            <w:tcW w:w="1457" w:type="dxa"/>
            <w:shd w:val="clear" w:color="auto" w:fill="auto"/>
          </w:tcPr>
          <w:p w14:paraId="0515A66E" w14:textId="5676D4E8" w:rsidR="00BB4A20" w:rsidRPr="00E37A2B" w:rsidRDefault="00BB4A20" w:rsidP="00E1046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firstLineChars="0"/>
              <w:rPr>
                <w:rFonts w:ascii="Times" w:hAnsi="Times"/>
              </w:rPr>
            </w:pPr>
            <w:r>
              <w:rPr>
                <w:rFonts w:hint="eastAsia"/>
                <w:bCs/>
                <w:iCs/>
              </w:rPr>
              <w:t>第十九投资</w:t>
            </w:r>
          </w:p>
        </w:tc>
        <w:tc>
          <w:tcPr>
            <w:tcW w:w="5812" w:type="dxa"/>
            <w:shd w:val="clear" w:color="auto" w:fill="auto"/>
          </w:tcPr>
          <w:p w14:paraId="1AFB654D" w14:textId="77E0D12B" w:rsidR="00BB4A20" w:rsidRDefault="00BB4A20" w:rsidP="00E10469">
            <w:pPr>
              <w:snapToGrid w:val="0"/>
              <w:spacing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第十九投资</w:t>
            </w:r>
            <w:r>
              <w:rPr>
                <w:rFonts w:hint="eastAsia"/>
                <w:kern w:val="2"/>
              </w:rPr>
              <w:t>2</w:t>
            </w:r>
            <w:r>
              <w:rPr>
                <w:kern w:val="2"/>
              </w:rPr>
              <w:t>008</w:t>
            </w:r>
            <w:r>
              <w:rPr>
                <w:rFonts w:hint="eastAsia"/>
                <w:kern w:val="2"/>
              </w:rPr>
              <w:t>年成立于阿联酋，是一家投资控股公司，无实际业务。</w:t>
            </w:r>
          </w:p>
          <w:p w14:paraId="1C3C4F00" w14:textId="269A96A6" w:rsidR="00BB4A20" w:rsidRPr="00E10469" w:rsidRDefault="00BB4A20" w:rsidP="00E10469">
            <w:pPr>
              <w:snapToGrid w:val="0"/>
              <w:spacing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第十九投资的最终控制人为穆巴达拉投资公司，主要业务为在全球进行投资，并专注于多个行业的投资和开发，包括</w:t>
            </w:r>
            <w:r w:rsidRPr="00794A7A">
              <w:rPr>
                <w:rFonts w:hint="eastAsia"/>
                <w:kern w:val="2"/>
              </w:rPr>
              <w:t>能源、化工、技术、生命科学、消费、工业、金融服务和房地产</w:t>
            </w:r>
            <w:r>
              <w:rPr>
                <w:rFonts w:hint="eastAsia"/>
                <w:kern w:val="2"/>
              </w:rPr>
              <w:t>。</w:t>
            </w:r>
          </w:p>
        </w:tc>
      </w:tr>
      <w:tr w:rsidR="00BB4A20" w:rsidRPr="00E37A2B" w14:paraId="38B3F4FA" w14:textId="77777777" w:rsidTr="000701A3">
        <w:trPr>
          <w:trHeight w:val="700"/>
          <w:jc w:val="center"/>
        </w:trPr>
        <w:tc>
          <w:tcPr>
            <w:tcW w:w="1940" w:type="dxa"/>
            <w:vMerge/>
            <w:shd w:val="clear" w:color="auto" w:fill="D9D9D9"/>
          </w:tcPr>
          <w:p w14:paraId="1DB5EDE5" w14:textId="77777777" w:rsidR="00BB4A20" w:rsidRPr="00E37A2B" w:rsidRDefault="00BB4A20" w:rsidP="00E10469">
            <w:pPr>
              <w:pStyle w:val="a7"/>
              <w:spacing w:after="0"/>
              <w:rPr>
                <w:rFonts w:cs="Times New Roman"/>
                <w:lang w:val="en-US" w:eastAsia="zh-CN"/>
              </w:rPr>
            </w:pPr>
          </w:p>
        </w:tc>
        <w:tc>
          <w:tcPr>
            <w:tcW w:w="1457" w:type="dxa"/>
            <w:shd w:val="clear" w:color="auto" w:fill="auto"/>
          </w:tcPr>
          <w:p w14:paraId="67743951" w14:textId="48853AC0" w:rsidR="00BB4A20" w:rsidRPr="00E37A2B" w:rsidRDefault="00BB4A20" w:rsidP="00E1046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firstLineChars="0"/>
              <w:rPr>
                <w:rFonts w:ascii="Times" w:hAnsi="Times"/>
              </w:rPr>
            </w:pPr>
            <w:r>
              <w:rPr>
                <w:rFonts w:hint="eastAsia"/>
                <w:bCs/>
                <w:iCs/>
              </w:rPr>
              <w:t>E</w:t>
            </w:r>
            <w:r>
              <w:rPr>
                <w:bCs/>
                <w:iCs/>
              </w:rPr>
              <w:t>quitix Bidco</w:t>
            </w:r>
          </w:p>
        </w:tc>
        <w:tc>
          <w:tcPr>
            <w:tcW w:w="5812" w:type="dxa"/>
            <w:shd w:val="clear" w:color="auto" w:fill="auto"/>
          </w:tcPr>
          <w:p w14:paraId="2AF01EED" w14:textId="145D080E" w:rsidR="00BB4A20" w:rsidRDefault="00BB4A20" w:rsidP="00E10469">
            <w:pPr>
              <w:snapToGrid w:val="0"/>
              <w:spacing w:after="0"/>
              <w:rPr>
                <w:rFonts w:ascii="Times" w:hAnsi="Times"/>
              </w:rPr>
            </w:pPr>
            <w:r>
              <w:rPr>
                <w:rFonts w:ascii="Times" w:hAnsi="Times" w:hint="eastAsia"/>
              </w:rPr>
              <w:t>Equitix</w:t>
            </w:r>
            <w:r>
              <w:rPr>
                <w:rFonts w:ascii="Times" w:hAnsi="Times"/>
              </w:rPr>
              <w:t xml:space="preserve"> B</w:t>
            </w:r>
            <w:r>
              <w:rPr>
                <w:rFonts w:ascii="Times" w:hAnsi="Times" w:hint="eastAsia"/>
              </w:rPr>
              <w:t>idco</w:t>
            </w:r>
            <w:r>
              <w:rPr>
                <w:rFonts w:ascii="Times" w:hAnsi="Times"/>
              </w:rPr>
              <w:t xml:space="preserve"> 2020</w:t>
            </w:r>
            <w:r>
              <w:rPr>
                <w:rFonts w:ascii="Times" w:hAnsi="Times" w:hint="eastAsia"/>
              </w:rPr>
              <w:t>年成立于英国，是一家投资控股公司，无实际业务</w:t>
            </w:r>
            <w:r w:rsidRPr="00046903">
              <w:rPr>
                <w:rFonts w:ascii="Times" w:hAnsi="Times" w:hint="eastAsia"/>
              </w:rPr>
              <w:t>。</w:t>
            </w:r>
          </w:p>
          <w:p w14:paraId="70C7B692" w14:textId="13922138" w:rsidR="00BB4A20" w:rsidRPr="00E37A2B" w:rsidRDefault="00BB4A20" w:rsidP="00E10469">
            <w:pPr>
              <w:snapToGrid w:val="0"/>
              <w:spacing w:after="0"/>
              <w:rPr>
                <w:rFonts w:ascii="Times" w:hAnsi="Times"/>
              </w:rPr>
            </w:pPr>
            <w:r>
              <w:rPr>
                <w:rFonts w:ascii="Times" w:hAnsi="Times" w:hint="eastAsia"/>
              </w:rPr>
              <w:t>Equitix</w:t>
            </w:r>
            <w:r>
              <w:rPr>
                <w:rFonts w:ascii="Times" w:hAnsi="Times"/>
              </w:rPr>
              <w:t xml:space="preserve"> B</w:t>
            </w:r>
            <w:r>
              <w:rPr>
                <w:rFonts w:ascii="Times" w:hAnsi="Times" w:hint="eastAsia"/>
              </w:rPr>
              <w:t>idco</w:t>
            </w:r>
            <w:r>
              <w:rPr>
                <w:rFonts w:ascii="Times" w:hAnsi="Times" w:hint="eastAsia"/>
              </w:rPr>
              <w:t>的最终控制人为一名</w:t>
            </w:r>
            <w:r w:rsidR="00B1576B">
              <w:rPr>
                <w:rFonts w:ascii="Times" w:hAnsi="Times" w:hint="eastAsia"/>
              </w:rPr>
              <w:t>英国籍</w:t>
            </w:r>
            <w:r>
              <w:rPr>
                <w:rFonts w:ascii="Times" w:hAnsi="Times" w:hint="eastAsia"/>
              </w:rPr>
              <w:t>自然人。</w:t>
            </w:r>
          </w:p>
        </w:tc>
      </w:tr>
      <w:tr w:rsidR="00BB4A20" w:rsidRPr="00E37A2B" w14:paraId="7469A667" w14:textId="77777777" w:rsidTr="000701A3">
        <w:trPr>
          <w:trHeight w:val="700"/>
          <w:jc w:val="center"/>
        </w:trPr>
        <w:tc>
          <w:tcPr>
            <w:tcW w:w="1940" w:type="dxa"/>
            <w:vMerge/>
            <w:shd w:val="clear" w:color="auto" w:fill="D9D9D9"/>
          </w:tcPr>
          <w:p w14:paraId="77C0FC89" w14:textId="77777777" w:rsidR="00BB4A20" w:rsidRPr="00E37A2B" w:rsidRDefault="00BB4A20" w:rsidP="00E10469">
            <w:pPr>
              <w:pStyle w:val="a7"/>
              <w:spacing w:after="0"/>
              <w:rPr>
                <w:rFonts w:cs="Times New Roman"/>
                <w:lang w:val="en-US" w:eastAsia="zh-CN"/>
              </w:rPr>
            </w:pPr>
          </w:p>
        </w:tc>
        <w:tc>
          <w:tcPr>
            <w:tcW w:w="1457" w:type="dxa"/>
            <w:shd w:val="clear" w:color="auto" w:fill="auto"/>
          </w:tcPr>
          <w:p w14:paraId="41A50FED" w14:textId="7AAF44A1" w:rsidR="00BB4A20" w:rsidRPr="00E37A2B" w:rsidRDefault="00BB4A20" w:rsidP="00E1046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firstLineChars="0"/>
              <w:rPr>
                <w:rFonts w:ascii="Times" w:hAnsi="Times"/>
              </w:rPr>
            </w:pPr>
            <w:r>
              <w:rPr>
                <w:rFonts w:hint="eastAsia"/>
                <w:bCs/>
                <w:iCs/>
              </w:rPr>
              <w:t>第一中间公司</w:t>
            </w:r>
          </w:p>
        </w:tc>
        <w:tc>
          <w:tcPr>
            <w:tcW w:w="5812" w:type="dxa"/>
            <w:shd w:val="clear" w:color="auto" w:fill="auto"/>
          </w:tcPr>
          <w:p w14:paraId="4D82CDC4" w14:textId="36571356" w:rsidR="00BB4A20" w:rsidRDefault="00BB4A20" w:rsidP="00E10469">
            <w:pPr>
              <w:snapToGrid w:val="0"/>
              <w:spacing w:after="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第一中间公司</w:t>
            </w:r>
            <w:r>
              <w:rPr>
                <w:rFonts w:hint="eastAsia"/>
                <w:bCs/>
                <w:iCs/>
              </w:rPr>
              <w:t>2</w:t>
            </w:r>
            <w:r>
              <w:rPr>
                <w:bCs/>
                <w:iCs/>
              </w:rPr>
              <w:t>020</w:t>
            </w:r>
            <w:r>
              <w:rPr>
                <w:rFonts w:hint="eastAsia"/>
                <w:bCs/>
                <w:iCs/>
              </w:rPr>
              <w:t>年成立于</w:t>
            </w:r>
            <w:r w:rsidR="00B1576B">
              <w:rPr>
                <w:rFonts w:hint="eastAsia"/>
                <w:bCs/>
                <w:iCs/>
              </w:rPr>
              <w:t>英国</w:t>
            </w:r>
            <w:r>
              <w:rPr>
                <w:rFonts w:hint="eastAsia"/>
                <w:bCs/>
                <w:iCs/>
              </w:rPr>
              <w:t>，</w:t>
            </w:r>
            <w:r w:rsidRPr="00046903">
              <w:rPr>
                <w:rFonts w:hint="eastAsia"/>
                <w:bCs/>
                <w:iCs/>
              </w:rPr>
              <w:t>是一家投资控股公司，</w:t>
            </w:r>
            <w:r>
              <w:rPr>
                <w:rFonts w:hint="eastAsia"/>
                <w:bCs/>
                <w:iCs/>
              </w:rPr>
              <w:t>无实际业务</w:t>
            </w:r>
            <w:r w:rsidRPr="00046903">
              <w:rPr>
                <w:rFonts w:hint="eastAsia"/>
                <w:bCs/>
                <w:iCs/>
              </w:rPr>
              <w:t>。</w:t>
            </w:r>
          </w:p>
          <w:p w14:paraId="411F9A27" w14:textId="4C8B2CE9" w:rsidR="00BB4A20" w:rsidRPr="00E10469" w:rsidRDefault="00BB4A20" w:rsidP="00E10469">
            <w:pPr>
              <w:snapToGrid w:val="0"/>
              <w:spacing w:after="0"/>
              <w:rPr>
                <w:bCs/>
                <w:iCs/>
              </w:rPr>
            </w:pPr>
            <w:r>
              <w:rPr>
                <w:rFonts w:ascii="Times" w:hAnsi="Times" w:hint="eastAsia"/>
              </w:rPr>
              <w:t>第一中间公司</w:t>
            </w:r>
            <w:r w:rsidR="00D63620">
              <w:rPr>
                <w:rFonts w:ascii="Times" w:hAnsi="Times" w:hint="eastAsia"/>
              </w:rPr>
              <w:t>的最终控制人为贝莱德、高盛和穆巴达拉投资公司，其主要业务如上文所述</w:t>
            </w:r>
            <w:r>
              <w:rPr>
                <w:rFonts w:ascii="Times" w:hAnsi="Times" w:hint="eastAsia"/>
              </w:rPr>
              <w:t>。</w:t>
            </w:r>
          </w:p>
        </w:tc>
      </w:tr>
      <w:tr w:rsidR="00BB4A20" w:rsidRPr="00E37A2B" w14:paraId="5394C5DE" w14:textId="77777777" w:rsidTr="000701A3">
        <w:trPr>
          <w:trHeight w:val="279"/>
          <w:jc w:val="center"/>
        </w:trPr>
        <w:tc>
          <w:tcPr>
            <w:tcW w:w="1940" w:type="dxa"/>
            <w:vMerge w:val="restart"/>
            <w:shd w:val="clear" w:color="auto" w:fill="D9D9D9"/>
          </w:tcPr>
          <w:p w14:paraId="1421AE43" w14:textId="77777777" w:rsidR="00BB4A20" w:rsidRPr="00E37A2B" w:rsidRDefault="00BB4A20" w:rsidP="00E10469">
            <w:pPr>
              <w:pStyle w:val="a7"/>
              <w:spacing w:after="0"/>
              <w:rPr>
                <w:rFonts w:cs="Times New Roman"/>
                <w:lang w:val="en-US" w:eastAsia="zh-CN"/>
              </w:rPr>
            </w:pPr>
            <w:r w:rsidRPr="00E37A2B">
              <w:rPr>
                <w:rFonts w:cs="Times New Roman"/>
                <w:lang w:val="en-GB" w:eastAsia="zh-CN"/>
              </w:rPr>
              <w:lastRenderedPageBreak/>
              <w:t>简易案件理由（可以单选，也可以多选）</w:t>
            </w:r>
          </w:p>
        </w:tc>
        <w:tc>
          <w:tcPr>
            <w:tcW w:w="7269" w:type="dxa"/>
            <w:gridSpan w:val="2"/>
            <w:shd w:val="clear" w:color="auto" w:fill="auto"/>
          </w:tcPr>
          <w:p w14:paraId="6B270918" w14:textId="77777777" w:rsidR="00BB4A20" w:rsidRPr="00E37A2B" w:rsidRDefault="00BB4A20" w:rsidP="00E10469">
            <w:pPr>
              <w:pStyle w:val="a7"/>
              <w:spacing w:after="0"/>
              <w:rPr>
                <w:rFonts w:cs="Times New Roman"/>
                <w:lang w:val="en-US" w:eastAsia="zh-CN"/>
              </w:rPr>
            </w:pPr>
            <w:r w:rsidRPr="00E37A2B">
              <w:rPr>
                <w:rFonts w:ascii="Wingdings" w:hAnsi="Wingdings"/>
                <w:lang w:eastAsia="zh-CN"/>
              </w:rPr>
              <w:sym w:font="Wingdings" w:char="F06F"/>
            </w:r>
            <w:r w:rsidRPr="00E37A2B">
              <w:rPr>
                <w:rFonts w:cs="Times New Roman"/>
                <w:lang w:val="en-GB" w:eastAsia="zh-CN"/>
              </w:rPr>
              <w:t xml:space="preserve"> 1</w:t>
            </w:r>
            <w:r w:rsidRPr="00E37A2B">
              <w:rPr>
                <w:rFonts w:cs="Times New Roman"/>
                <w:lang w:val="en-GB" w:eastAsia="zh-CN"/>
              </w:rPr>
              <w:t>、在同一相关市场，所有参与集中的经营者所占市场份额之和小于</w:t>
            </w:r>
            <w:r w:rsidRPr="00E37A2B">
              <w:rPr>
                <w:rFonts w:cs="Times New Roman"/>
                <w:lang w:val="en-GB" w:eastAsia="zh-CN"/>
              </w:rPr>
              <w:t>15%</w:t>
            </w:r>
            <w:r w:rsidRPr="00E37A2B">
              <w:rPr>
                <w:rFonts w:cs="Times New Roman"/>
                <w:lang w:val="en-GB" w:eastAsia="zh-CN"/>
              </w:rPr>
              <w:t>。</w:t>
            </w:r>
          </w:p>
        </w:tc>
      </w:tr>
      <w:tr w:rsidR="00BB4A20" w:rsidRPr="00E37A2B" w14:paraId="78D633E6" w14:textId="77777777" w:rsidTr="000701A3">
        <w:trPr>
          <w:trHeight w:val="330"/>
          <w:jc w:val="center"/>
        </w:trPr>
        <w:tc>
          <w:tcPr>
            <w:tcW w:w="1940" w:type="dxa"/>
            <w:vMerge/>
            <w:shd w:val="clear" w:color="auto" w:fill="D9D9D9"/>
          </w:tcPr>
          <w:p w14:paraId="0D77C213" w14:textId="77777777" w:rsidR="00BB4A20" w:rsidRPr="00E37A2B" w:rsidRDefault="00BB4A20" w:rsidP="00E10469">
            <w:pPr>
              <w:pStyle w:val="a7"/>
              <w:spacing w:after="0"/>
              <w:rPr>
                <w:rFonts w:cs="Times New Roman"/>
                <w:lang w:val="en-US" w:eastAsia="zh-CN"/>
              </w:rPr>
            </w:pPr>
          </w:p>
        </w:tc>
        <w:tc>
          <w:tcPr>
            <w:tcW w:w="7269" w:type="dxa"/>
            <w:gridSpan w:val="2"/>
            <w:shd w:val="clear" w:color="auto" w:fill="auto"/>
          </w:tcPr>
          <w:p w14:paraId="465D0002" w14:textId="77777777" w:rsidR="00BB4A20" w:rsidRPr="00E37A2B" w:rsidRDefault="00BB4A20" w:rsidP="00E10469">
            <w:pPr>
              <w:pStyle w:val="a7"/>
              <w:spacing w:after="0"/>
              <w:rPr>
                <w:rFonts w:cs="Times New Roman"/>
                <w:lang w:val="en-US" w:eastAsia="zh-CN"/>
              </w:rPr>
            </w:pPr>
            <w:r w:rsidRPr="00E37A2B">
              <w:rPr>
                <w:rFonts w:ascii="Wingdings" w:hAnsi="Wingdings"/>
                <w:lang w:eastAsia="zh-CN"/>
              </w:rPr>
              <w:sym w:font="Wingdings" w:char="F06F"/>
            </w:r>
            <w:r w:rsidRPr="00E37A2B">
              <w:rPr>
                <w:rFonts w:cs="Times New Roman" w:hint="eastAsia"/>
                <w:lang w:val="en-GB" w:eastAsia="zh-CN"/>
              </w:rPr>
              <w:t xml:space="preserve"> </w:t>
            </w:r>
            <w:r w:rsidRPr="00E37A2B">
              <w:rPr>
                <w:rFonts w:cs="Times New Roman"/>
                <w:lang w:val="en-GB" w:eastAsia="zh-CN"/>
              </w:rPr>
              <w:t>2</w:t>
            </w:r>
            <w:r w:rsidRPr="00E37A2B">
              <w:rPr>
                <w:rFonts w:cs="Times New Roman"/>
                <w:lang w:val="en-GB" w:eastAsia="zh-CN"/>
              </w:rPr>
              <w:t>、存在上下游关系的参与集中的经营者，在上下游市场所占的市场份额均小于</w:t>
            </w:r>
            <w:r w:rsidRPr="00E37A2B">
              <w:rPr>
                <w:rFonts w:cs="Times New Roman"/>
                <w:lang w:val="en-GB" w:eastAsia="zh-CN"/>
              </w:rPr>
              <w:t>25%</w:t>
            </w:r>
            <w:r w:rsidRPr="00E37A2B">
              <w:rPr>
                <w:rFonts w:cs="Times New Roman"/>
                <w:lang w:val="en-GB" w:eastAsia="zh-CN"/>
              </w:rPr>
              <w:t>。</w:t>
            </w:r>
          </w:p>
        </w:tc>
      </w:tr>
      <w:tr w:rsidR="00BB4A20" w:rsidRPr="00E37A2B" w14:paraId="61100886" w14:textId="77777777" w:rsidTr="000701A3">
        <w:trPr>
          <w:trHeight w:val="285"/>
          <w:jc w:val="center"/>
        </w:trPr>
        <w:tc>
          <w:tcPr>
            <w:tcW w:w="1940" w:type="dxa"/>
            <w:vMerge/>
            <w:shd w:val="clear" w:color="auto" w:fill="D9D9D9"/>
          </w:tcPr>
          <w:p w14:paraId="4C920354" w14:textId="77777777" w:rsidR="00BB4A20" w:rsidRPr="00E37A2B" w:rsidRDefault="00BB4A20" w:rsidP="00E10469">
            <w:pPr>
              <w:pStyle w:val="a7"/>
              <w:spacing w:after="0"/>
              <w:rPr>
                <w:rFonts w:cs="Times New Roman"/>
                <w:lang w:val="en-US" w:eastAsia="zh-CN"/>
              </w:rPr>
            </w:pPr>
          </w:p>
        </w:tc>
        <w:tc>
          <w:tcPr>
            <w:tcW w:w="7269" w:type="dxa"/>
            <w:gridSpan w:val="2"/>
            <w:shd w:val="clear" w:color="auto" w:fill="auto"/>
          </w:tcPr>
          <w:p w14:paraId="18968243" w14:textId="77777777" w:rsidR="00BB4A20" w:rsidRPr="00E37A2B" w:rsidRDefault="00BB4A20" w:rsidP="00E10469">
            <w:pPr>
              <w:pStyle w:val="a7"/>
              <w:spacing w:after="0"/>
              <w:rPr>
                <w:rFonts w:cs="Times New Roman"/>
                <w:lang w:val="en-US" w:eastAsia="zh-CN"/>
              </w:rPr>
            </w:pPr>
            <w:r w:rsidRPr="00E37A2B">
              <w:rPr>
                <w:rFonts w:ascii="Wingdings" w:hAnsi="Wingdings"/>
                <w:lang w:eastAsia="zh-CN"/>
              </w:rPr>
              <w:sym w:font="Wingdings" w:char="F06F"/>
            </w:r>
            <w:r w:rsidRPr="00E37A2B">
              <w:rPr>
                <w:rFonts w:cs="Times New Roman"/>
                <w:lang w:val="en-GB" w:eastAsia="zh-CN"/>
              </w:rPr>
              <w:t xml:space="preserve"> 3</w:t>
            </w:r>
            <w:r w:rsidRPr="00E37A2B">
              <w:rPr>
                <w:rFonts w:cs="Times New Roman"/>
                <w:lang w:val="en-GB" w:eastAsia="zh-CN"/>
              </w:rPr>
              <w:t>、不在同一相关市场、也不存在上下游关系的参与集中的经营者，在与交易有关的每个市场所占的份额均小于</w:t>
            </w:r>
            <w:r w:rsidRPr="00E37A2B">
              <w:rPr>
                <w:rFonts w:cs="Times New Roman"/>
                <w:lang w:val="en-GB" w:eastAsia="zh-CN"/>
              </w:rPr>
              <w:t>25%</w:t>
            </w:r>
            <w:r w:rsidRPr="00E37A2B">
              <w:rPr>
                <w:rFonts w:cs="Times New Roman"/>
                <w:lang w:val="en-GB" w:eastAsia="zh-CN"/>
              </w:rPr>
              <w:t>。</w:t>
            </w:r>
          </w:p>
        </w:tc>
      </w:tr>
      <w:tr w:rsidR="00BB4A20" w:rsidRPr="00E37A2B" w14:paraId="21D537E7" w14:textId="77777777" w:rsidTr="000701A3">
        <w:trPr>
          <w:trHeight w:val="870"/>
          <w:jc w:val="center"/>
        </w:trPr>
        <w:tc>
          <w:tcPr>
            <w:tcW w:w="1940" w:type="dxa"/>
            <w:vMerge/>
            <w:shd w:val="clear" w:color="auto" w:fill="D9D9D9"/>
          </w:tcPr>
          <w:p w14:paraId="3F23E1C2" w14:textId="77777777" w:rsidR="00BB4A20" w:rsidRPr="00E37A2B" w:rsidRDefault="00BB4A20" w:rsidP="00E10469">
            <w:pPr>
              <w:pStyle w:val="a7"/>
              <w:spacing w:after="0"/>
              <w:rPr>
                <w:rFonts w:cs="Times New Roman"/>
                <w:lang w:val="en-US" w:eastAsia="zh-CN"/>
              </w:rPr>
            </w:pPr>
          </w:p>
        </w:tc>
        <w:tc>
          <w:tcPr>
            <w:tcW w:w="7269" w:type="dxa"/>
            <w:gridSpan w:val="2"/>
            <w:shd w:val="clear" w:color="auto" w:fill="auto"/>
          </w:tcPr>
          <w:p w14:paraId="5E98AA96" w14:textId="77777777" w:rsidR="00BB4A20" w:rsidRPr="00E37A2B" w:rsidRDefault="00BB4A20" w:rsidP="00E10469">
            <w:pPr>
              <w:pStyle w:val="a7"/>
              <w:spacing w:after="0"/>
              <w:rPr>
                <w:rFonts w:cs="Times New Roman"/>
                <w:lang w:val="en-US" w:eastAsia="zh-CN"/>
              </w:rPr>
            </w:pPr>
            <w:r w:rsidRPr="00E37A2B">
              <w:rPr>
                <w:rFonts w:ascii="Wingdings" w:hAnsi="Wingdings"/>
                <w:lang w:eastAsia="zh-CN"/>
              </w:rPr>
              <w:sym w:font="Wingdings" w:char="F06F"/>
            </w:r>
            <w:r w:rsidRPr="00E37A2B">
              <w:rPr>
                <w:rFonts w:cs="Times New Roman"/>
                <w:lang w:val="en-GB" w:eastAsia="zh-CN"/>
              </w:rPr>
              <w:t xml:space="preserve"> 4</w:t>
            </w:r>
            <w:r w:rsidRPr="00E37A2B">
              <w:rPr>
                <w:rFonts w:cs="Times New Roman"/>
                <w:lang w:val="en-GB" w:eastAsia="zh-CN"/>
              </w:rPr>
              <w:t>、参与集中的经营者在中国境外设立合营企业，合营企业不在中国境内从事经济活动。</w:t>
            </w:r>
          </w:p>
        </w:tc>
      </w:tr>
      <w:tr w:rsidR="00BB4A20" w:rsidRPr="00E37A2B" w14:paraId="22646E1A" w14:textId="77777777" w:rsidTr="000701A3">
        <w:trPr>
          <w:trHeight w:val="264"/>
          <w:jc w:val="center"/>
        </w:trPr>
        <w:tc>
          <w:tcPr>
            <w:tcW w:w="1940" w:type="dxa"/>
            <w:vMerge/>
            <w:shd w:val="clear" w:color="auto" w:fill="D9D9D9"/>
          </w:tcPr>
          <w:p w14:paraId="0BCE529E" w14:textId="77777777" w:rsidR="00BB4A20" w:rsidRPr="00E37A2B" w:rsidRDefault="00BB4A20" w:rsidP="00E10469">
            <w:pPr>
              <w:pStyle w:val="a7"/>
              <w:spacing w:after="0"/>
              <w:rPr>
                <w:rFonts w:cs="Times New Roman"/>
                <w:lang w:val="en-US" w:eastAsia="zh-CN"/>
              </w:rPr>
            </w:pPr>
          </w:p>
        </w:tc>
        <w:tc>
          <w:tcPr>
            <w:tcW w:w="7269" w:type="dxa"/>
            <w:gridSpan w:val="2"/>
            <w:shd w:val="clear" w:color="auto" w:fill="auto"/>
          </w:tcPr>
          <w:p w14:paraId="054425A2" w14:textId="77777777" w:rsidR="00BB4A20" w:rsidRPr="00E37A2B" w:rsidRDefault="00BB4A20" w:rsidP="00E10469">
            <w:pPr>
              <w:pStyle w:val="a7"/>
              <w:spacing w:after="0"/>
              <w:rPr>
                <w:rFonts w:cs="Times New Roman"/>
                <w:lang w:val="en-US" w:eastAsia="zh-CN"/>
              </w:rPr>
            </w:pPr>
            <w:r w:rsidRPr="00E37A2B">
              <w:rPr>
                <w:rFonts w:ascii="Wingdings" w:hAnsi="Wingdings"/>
                <w:lang w:eastAsia="zh-CN"/>
              </w:rPr>
              <w:t></w:t>
            </w:r>
            <w:r w:rsidRPr="00E37A2B">
              <w:rPr>
                <w:rFonts w:cs="Times New Roman"/>
                <w:lang w:val="en-GB" w:eastAsia="zh-CN"/>
              </w:rPr>
              <w:t xml:space="preserve"> 5</w:t>
            </w:r>
            <w:r w:rsidRPr="00E37A2B">
              <w:rPr>
                <w:rFonts w:cs="Times New Roman"/>
                <w:lang w:val="en-GB" w:eastAsia="zh-CN"/>
              </w:rPr>
              <w:t>、参与集中的经营者收购境外企业股权或资产的，该境外企业不在中国境内从事经济活动。</w:t>
            </w:r>
          </w:p>
        </w:tc>
      </w:tr>
      <w:tr w:rsidR="00BB4A20" w:rsidRPr="00E37A2B" w14:paraId="56408BBF" w14:textId="77777777" w:rsidTr="000701A3">
        <w:trPr>
          <w:trHeight w:val="345"/>
          <w:jc w:val="center"/>
        </w:trPr>
        <w:tc>
          <w:tcPr>
            <w:tcW w:w="1940" w:type="dxa"/>
            <w:vMerge/>
            <w:shd w:val="clear" w:color="auto" w:fill="D9D9D9"/>
          </w:tcPr>
          <w:p w14:paraId="01E0A268" w14:textId="77777777" w:rsidR="00BB4A20" w:rsidRPr="00E37A2B" w:rsidRDefault="00BB4A20" w:rsidP="00E10469">
            <w:pPr>
              <w:pStyle w:val="a7"/>
              <w:spacing w:after="0"/>
              <w:rPr>
                <w:rFonts w:cs="Times New Roman"/>
                <w:lang w:val="en-US" w:eastAsia="zh-CN"/>
              </w:rPr>
            </w:pPr>
          </w:p>
        </w:tc>
        <w:tc>
          <w:tcPr>
            <w:tcW w:w="7269" w:type="dxa"/>
            <w:gridSpan w:val="2"/>
            <w:shd w:val="clear" w:color="auto" w:fill="auto"/>
          </w:tcPr>
          <w:p w14:paraId="21C323C9" w14:textId="77777777" w:rsidR="00BB4A20" w:rsidRPr="00E37A2B" w:rsidRDefault="00BB4A20" w:rsidP="00E10469">
            <w:pPr>
              <w:pStyle w:val="a7"/>
              <w:spacing w:after="0"/>
              <w:rPr>
                <w:rFonts w:cs="Times New Roman"/>
                <w:lang w:val="en-US" w:eastAsia="zh-CN"/>
              </w:rPr>
            </w:pPr>
            <w:r w:rsidRPr="00E37A2B">
              <w:rPr>
                <w:rFonts w:ascii="Wingdings" w:hAnsi="Wingdings"/>
                <w:lang w:eastAsia="zh-CN"/>
              </w:rPr>
              <w:sym w:font="Wingdings" w:char="F06F"/>
            </w:r>
            <w:r w:rsidRPr="00E37A2B">
              <w:rPr>
                <w:rFonts w:cs="Times New Roman"/>
                <w:lang w:val="en-GB" w:eastAsia="zh-CN"/>
              </w:rPr>
              <w:t xml:space="preserve"> 6</w:t>
            </w:r>
            <w:r w:rsidRPr="00E37A2B">
              <w:rPr>
                <w:rFonts w:cs="Times New Roman"/>
                <w:lang w:val="en-GB" w:eastAsia="zh-CN"/>
              </w:rPr>
              <w:t>、由两个以上的经营者共同控制的合营企业，通过集中被其中一个或一个以上经营者控制。</w:t>
            </w:r>
          </w:p>
        </w:tc>
      </w:tr>
      <w:tr w:rsidR="00BB4A20" w:rsidRPr="00E37A2B" w14:paraId="59EA8599" w14:textId="77777777" w:rsidTr="000701A3">
        <w:trPr>
          <w:jc w:val="center"/>
        </w:trPr>
        <w:tc>
          <w:tcPr>
            <w:tcW w:w="1940" w:type="dxa"/>
            <w:shd w:val="clear" w:color="auto" w:fill="D9D9D9"/>
          </w:tcPr>
          <w:p w14:paraId="053DF1F0" w14:textId="77777777" w:rsidR="00BB4A20" w:rsidRPr="00E37A2B" w:rsidRDefault="00BB4A20" w:rsidP="00E10469">
            <w:pPr>
              <w:pStyle w:val="a7"/>
              <w:spacing w:after="0"/>
              <w:rPr>
                <w:rFonts w:cs="Times New Roman"/>
                <w:lang w:val="en-US"/>
              </w:rPr>
            </w:pPr>
            <w:proofErr w:type="spellStart"/>
            <w:r w:rsidRPr="00E37A2B">
              <w:rPr>
                <w:rFonts w:cs="Times New Roman"/>
                <w:lang w:val="en-GB"/>
              </w:rPr>
              <w:t>备注</w:t>
            </w:r>
            <w:proofErr w:type="spellEnd"/>
          </w:p>
        </w:tc>
        <w:tc>
          <w:tcPr>
            <w:tcW w:w="7269" w:type="dxa"/>
            <w:gridSpan w:val="2"/>
            <w:shd w:val="clear" w:color="auto" w:fill="auto"/>
          </w:tcPr>
          <w:p w14:paraId="3477259B" w14:textId="5C7B9CE9" w:rsidR="00BB4A20" w:rsidRPr="00E37A2B" w:rsidRDefault="00E10469" w:rsidP="00E10469">
            <w:pPr>
              <w:spacing w:after="0"/>
            </w:pPr>
            <w:r>
              <w:rPr>
                <w:rFonts w:hint="eastAsia"/>
              </w:rPr>
              <w:t>不适用</w:t>
            </w:r>
          </w:p>
        </w:tc>
      </w:tr>
    </w:tbl>
    <w:p w14:paraId="0365CAA2" w14:textId="77777777" w:rsidR="0028266F" w:rsidRDefault="0028266F"/>
    <w:sectPr w:rsidR="0028266F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9035E" w14:textId="77777777" w:rsidR="00233FE9" w:rsidRDefault="00233FE9" w:rsidP="00E37A2B">
      <w:pPr>
        <w:spacing w:after="0"/>
      </w:pPr>
      <w:r>
        <w:separator/>
      </w:r>
    </w:p>
  </w:endnote>
  <w:endnote w:type="continuationSeparator" w:id="0">
    <w:p w14:paraId="6E3F8215" w14:textId="77777777" w:rsidR="00233FE9" w:rsidRDefault="00233FE9" w:rsidP="00E37A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8130815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5143F41C" w14:textId="77777777" w:rsidR="008A3B57" w:rsidRPr="008A3B57" w:rsidRDefault="00993DE5">
        <w:pPr>
          <w:pStyle w:val="a5"/>
          <w:jc w:val="center"/>
          <w:rPr>
            <w:sz w:val="22"/>
          </w:rPr>
        </w:pPr>
        <w:r w:rsidRPr="008A3B57">
          <w:rPr>
            <w:sz w:val="22"/>
          </w:rPr>
          <w:fldChar w:fldCharType="begin"/>
        </w:r>
        <w:r w:rsidRPr="008A3B57">
          <w:rPr>
            <w:sz w:val="22"/>
          </w:rPr>
          <w:instrText xml:space="preserve"> PAGE   \* MERGEFORMAT </w:instrText>
        </w:r>
        <w:r w:rsidRPr="008A3B57">
          <w:rPr>
            <w:sz w:val="22"/>
          </w:rPr>
          <w:fldChar w:fldCharType="separate"/>
        </w:r>
        <w:r>
          <w:rPr>
            <w:noProof/>
            <w:sz w:val="22"/>
          </w:rPr>
          <w:t>2</w:t>
        </w:r>
        <w:r w:rsidRPr="008A3B57">
          <w:rPr>
            <w:noProof/>
            <w:sz w:val="22"/>
          </w:rPr>
          <w:fldChar w:fldCharType="end"/>
        </w:r>
      </w:p>
    </w:sdtContent>
  </w:sdt>
  <w:p w14:paraId="36F8B315" w14:textId="77777777" w:rsidR="0099230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A5E18" w14:textId="77777777" w:rsidR="00233FE9" w:rsidRDefault="00233FE9" w:rsidP="00E37A2B">
      <w:pPr>
        <w:spacing w:after="0"/>
      </w:pPr>
      <w:r>
        <w:separator/>
      </w:r>
    </w:p>
  </w:footnote>
  <w:footnote w:type="continuationSeparator" w:id="0">
    <w:p w14:paraId="1529E779" w14:textId="77777777" w:rsidR="00233FE9" w:rsidRDefault="00233FE9" w:rsidP="00E37A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22680"/>
    <w:multiLevelType w:val="hybridMultilevel"/>
    <w:tmpl w:val="707CCF9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39042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69"/>
    <w:rsid w:val="000211A3"/>
    <w:rsid w:val="00046903"/>
    <w:rsid w:val="00072F3D"/>
    <w:rsid w:val="00077725"/>
    <w:rsid w:val="00082422"/>
    <w:rsid w:val="00095E51"/>
    <w:rsid w:val="000C027A"/>
    <w:rsid w:val="000C359A"/>
    <w:rsid w:val="000C5781"/>
    <w:rsid w:val="000F645C"/>
    <w:rsid w:val="00111229"/>
    <w:rsid w:val="0018158F"/>
    <w:rsid w:val="001849BD"/>
    <w:rsid w:val="001A3A98"/>
    <w:rsid w:val="001A7B69"/>
    <w:rsid w:val="001E4C9A"/>
    <w:rsid w:val="0020110B"/>
    <w:rsid w:val="00233FE9"/>
    <w:rsid w:val="0028266F"/>
    <w:rsid w:val="0029349D"/>
    <w:rsid w:val="00294215"/>
    <w:rsid w:val="00310AAD"/>
    <w:rsid w:val="0031186B"/>
    <w:rsid w:val="00314EC6"/>
    <w:rsid w:val="00422989"/>
    <w:rsid w:val="004418F5"/>
    <w:rsid w:val="00497244"/>
    <w:rsid w:val="004B05AF"/>
    <w:rsid w:val="0054638C"/>
    <w:rsid w:val="00561EF4"/>
    <w:rsid w:val="00582C05"/>
    <w:rsid w:val="00583561"/>
    <w:rsid w:val="00656F41"/>
    <w:rsid w:val="00707D10"/>
    <w:rsid w:val="00776B4A"/>
    <w:rsid w:val="00791ED7"/>
    <w:rsid w:val="00794A7A"/>
    <w:rsid w:val="007C15BA"/>
    <w:rsid w:val="007D7EE4"/>
    <w:rsid w:val="00805DFB"/>
    <w:rsid w:val="00806673"/>
    <w:rsid w:val="00840819"/>
    <w:rsid w:val="0086375E"/>
    <w:rsid w:val="00895A28"/>
    <w:rsid w:val="0094657A"/>
    <w:rsid w:val="00970F11"/>
    <w:rsid w:val="0098608C"/>
    <w:rsid w:val="00993DE5"/>
    <w:rsid w:val="009D2D27"/>
    <w:rsid w:val="009F6373"/>
    <w:rsid w:val="00A01DA0"/>
    <w:rsid w:val="00A71897"/>
    <w:rsid w:val="00AA0A99"/>
    <w:rsid w:val="00B1576B"/>
    <w:rsid w:val="00B7475E"/>
    <w:rsid w:val="00BB4A20"/>
    <w:rsid w:val="00BD6789"/>
    <w:rsid w:val="00CA57BE"/>
    <w:rsid w:val="00CE7EB4"/>
    <w:rsid w:val="00D56F14"/>
    <w:rsid w:val="00D63620"/>
    <w:rsid w:val="00D715F6"/>
    <w:rsid w:val="00D73B18"/>
    <w:rsid w:val="00D90A10"/>
    <w:rsid w:val="00DB18E4"/>
    <w:rsid w:val="00DD3A2C"/>
    <w:rsid w:val="00DE4B88"/>
    <w:rsid w:val="00E10469"/>
    <w:rsid w:val="00E252D0"/>
    <w:rsid w:val="00E37A2B"/>
    <w:rsid w:val="00E718C8"/>
    <w:rsid w:val="00E90E47"/>
    <w:rsid w:val="00F0179D"/>
    <w:rsid w:val="00F16A72"/>
    <w:rsid w:val="00F20546"/>
    <w:rsid w:val="00F51060"/>
    <w:rsid w:val="00FB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4F23D"/>
  <w15:chartTrackingRefBased/>
  <w15:docId w15:val="{B0622AE4-66DF-455B-8EFD-8C474024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A2B"/>
    <w:pPr>
      <w:spacing w:after="240"/>
      <w:jc w:val="both"/>
    </w:pPr>
    <w:rPr>
      <w:rFonts w:ascii="Times New Roman" w:eastAsia="宋体" w:hAnsi="Times New Roman" w:cs="Times New Roman"/>
      <w:kern w:val="0"/>
      <w:sz w:val="24"/>
      <w:szCs w:val="24"/>
      <w:lang w:val="en-GB" w:bidi="ar-A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A2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E37A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7A2B"/>
    <w:pPr>
      <w:widowControl w:val="0"/>
      <w:tabs>
        <w:tab w:val="center" w:pos="4153"/>
        <w:tab w:val="right" w:pos="8306"/>
      </w:tabs>
      <w:snapToGrid w:val="0"/>
      <w:spacing w:after="0"/>
      <w:jc w:val="left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E37A2B"/>
    <w:rPr>
      <w:sz w:val="18"/>
      <w:szCs w:val="18"/>
    </w:rPr>
  </w:style>
  <w:style w:type="paragraph" w:styleId="a7">
    <w:name w:val="Body Text"/>
    <w:basedOn w:val="a"/>
    <w:link w:val="a8"/>
    <w:rsid w:val="00E37A2B"/>
    <w:rPr>
      <w:rFonts w:cs="Simplified Arabic"/>
      <w:lang w:val="x-none" w:eastAsia="en-GB"/>
    </w:rPr>
  </w:style>
  <w:style w:type="character" w:customStyle="1" w:styleId="a8">
    <w:name w:val="正文文本 字符"/>
    <w:basedOn w:val="a0"/>
    <w:link w:val="a7"/>
    <w:rsid w:val="00E37A2B"/>
    <w:rPr>
      <w:rFonts w:ascii="Times New Roman" w:eastAsia="宋体" w:hAnsi="Times New Roman" w:cs="Simplified Arabic"/>
      <w:kern w:val="0"/>
      <w:sz w:val="24"/>
      <w:szCs w:val="24"/>
      <w:lang w:val="x-none" w:eastAsia="en-GB" w:bidi="ar-AE"/>
    </w:rPr>
  </w:style>
  <w:style w:type="character" w:styleId="a9">
    <w:name w:val="Hyperlink"/>
    <w:uiPriority w:val="99"/>
    <w:rsid w:val="00E37A2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37A2B"/>
    <w:pPr>
      <w:ind w:firstLineChars="200" w:firstLine="420"/>
    </w:pPr>
  </w:style>
  <w:style w:type="paragraph" w:styleId="ab">
    <w:name w:val="footnote text"/>
    <w:aliases w:val="Car,fn,Footnote Text Char Car,ALTS FOOTNOTE,Mod-Footnote Text,ALTS FOOTNOTE Char,Footnote Text Char1 Char,Footnote Text Char Char1 Char,ft Char Char Char,Footnote Text Char3 Char Char Char,Texto nota pie Car,Char Char,F,f,footnote text1,FT,FT Cha"/>
    <w:basedOn w:val="a"/>
    <w:link w:val="ac"/>
    <w:uiPriority w:val="99"/>
    <w:unhideWhenUsed/>
    <w:qFormat/>
    <w:rsid w:val="00046903"/>
    <w:pPr>
      <w:widowControl w:val="0"/>
      <w:snapToGrid w:val="0"/>
      <w:spacing w:after="0"/>
      <w:jc w:val="left"/>
    </w:pPr>
    <w:rPr>
      <w:rFonts w:ascii="Calibri" w:hAnsi="Calibri"/>
      <w:kern w:val="2"/>
      <w:sz w:val="18"/>
      <w:szCs w:val="18"/>
      <w:lang w:val="en-US" w:bidi="ar-SA"/>
    </w:rPr>
  </w:style>
  <w:style w:type="character" w:customStyle="1" w:styleId="ac">
    <w:name w:val="脚注文本 字符"/>
    <w:aliases w:val="Car 字符,fn 字符,Footnote Text Char Car 字符,ALTS FOOTNOTE 字符,Mod-Footnote Text 字符,ALTS FOOTNOTE Char 字符,Footnote Text Char1 Char 字符,Footnote Text Char Char1 Char 字符,ft Char Char Char 字符,Footnote Text Char3 Char Char Char 字符,Texto nota pie Car 字符,F 字符"/>
    <w:basedOn w:val="a0"/>
    <w:link w:val="ab"/>
    <w:uiPriority w:val="99"/>
    <w:qFormat/>
    <w:rsid w:val="00046903"/>
    <w:rPr>
      <w:rFonts w:ascii="Calibri" w:eastAsia="宋体" w:hAnsi="Calibri" w:cs="Times New Roman"/>
      <w:sz w:val="18"/>
      <w:szCs w:val="18"/>
    </w:rPr>
  </w:style>
  <w:style w:type="character" w:styleId="ad">
    <w:name w:val="footnote reference"/>
    <w:aliases w:val="-E Fußnotenzeichen,(NECG) Footnote Reference,fr,o,FC,Style 3,Appel note de bas de p,Style 17,FR,Style 13,Style 12,Style 124,callout,-E Funotenzeichen,Style 1,Footnote symbol,Footnote,Ref,de nota al pie,Style 4,BVI fnr,SUPE,Char1,-E Fu遪otenzeichen"/>
    <w:basedOn w:val="a0"/>
    <w:uiPriority w:val="99"/>
    <w:unhideWhenUsed/>
    <w:qFormat/>
    <w:rsid w:val="00046903"/>
    <w:rPr>
      <w:rFonts w:ascii="Calibri" w:eastAsia="宋体" w:hAnsi="Calibri" w:cs="Times New Roman"/>
      <w:vertAlign w:val="superscript"/>
    </w:rPr>
  </w:style>
  <w:style w:type="paragraph" w:styleId="ae">
    <w:name w:val="Revision"/>
    <w:hidden/>
    <w:uiPriority w:val="99"/>
    <w:semiHidden/>
    <w:rsid w:val="00561EF4"/>
    <w:rPr>
      <w:rFonts w:ascii="Times New Roman" w:eastAsia="宋体" w:hAnsi="Times New Roman" w:cs="Times New Roman"/>
      <w:kern w:val="0"/>
      <w:sz w:val="24"/>
      <w:szCs w:val="24"/>
      <w:lang w:val="en-GB" w:bidi="ar-AE"/>
    </w:rPr>
  </w:style>
  <w:style w:type="character" w:styleId="af">
    <w:name w:val="annotation reference"/>
    <w:basedOn w:val="a0"/>
    <w:uiPriority w:val="99"/>
    <w:semiHidden/>
    <w:unhideWhenUsed/>
    <w:rsid w:val="0020110B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20110B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20110B"/>
    <w:rPr>
      <w:rFonts w:ascii="Times New Roman" w:eastAsia="宋体" w:hAnsi="Times New Roman" w:cs="Times New Roman"/>
      <w:kern w:val="0"/>
      <w:sz w:val="24"/>
      <w:szCs w:val="24"/>
      <w:lang w:val="en-GB" w:bidi="ar-AE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0110B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20110B"/>
    <w:rPr>
      <w:rFonts w:ascii="Times New Roman" w:eastAsia="宋体" w:hAnsi="Times New Roman" w:cs="Times New Roman"/>
      <w:b/>
      <w:bCs/>
      <w:kern w:val="0"/>
      <w:sz w:val="24"/>
      <w:szCs w:val="24"/>
      <w:lang w:val="en-GB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AB420-FDD3-4F3F-BBA1-CB37C183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1201</Characters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2023-05-25T02:21:00Z</dcterms:created>
  <dcterms:modified xsi:type="dcterms:W3CDTF">2023-05-25T02:21:00Z</dcterms:modified>
</cp:coreProperties>
</file>