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61" w:rsidRDefault="000A6561" w:rsidP="00C85A89">
      <w:pPr>
        <w:pStyle w:val="aa"/>
        <w:shd w:val="clear" w:color="auto" w:fill="FFFFFF"/>
        <w:spacing w:before="0" w:beforeAutospacing="0" w:after="0" w:afterAutospacing="0" w:line="630" w:lineRule="atLeast"/>
        <w:jc w:val="center"/>
        <w:rPr>
          <w:rStyle w:val="ab"/>
          <w:color w:val="333333"/>
          <w:sz w:val="44"/>
          <w:szCs w:val="44"/>
        </w:rPr>
      </w:pP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特殊医学用途配方食品注册管理办法</w:t>
      </w:r>
    </w:p>
    <w:p w:rsidR="00C85A89" w:rsidRPr="000A6561" w:rsidRDefault="00C85A89" w:rsidP="00C85A89">
      <w:pPr>
        <w:pStyle w:val="aa"/>
        <w:shd w:val="clear" w:color="auto" w:fill="FFFFFF"/>
        <w:spacing w:before="0" w:beforeAutospacing="0" w:after="0" w:afterAutospacing="0" w:line="630" w:lineRule="atLeast"/>
        <w:jc w:val="both"/>
        <w:rPr>
          <w:rFonts w:ascii="楷体_GB2312" w:eastAsia="楷体_GB2312" w:hAnsi="仿宋"/>
          <w:color w:val="333333"/>
          <w:sz w:val="28"/>
          <w:szCs w:val="28"/>
        </w:rPr>
      </w:pPr>
      <w:r w:rsidRPr="000A6561">
        <w:rPr>
          <w:rFonts w:ascii="楷体_GB2312" w:eastAsia="楷体_GB2312" w:hAnsi="仿宋" w:hint="eastAsia"/>
          <w:color w:val="333333"/>
          <w:sz w:val="28"/>
          <w:szCs w:val="28"/>
        </w:rPr>
        <w:t xml:space="preserve">　　（2016年3月7日国家食品药品监督管理总局令第24号公布 自2016年7月1</w:t>
      </w:r>
      <w:r w:rsidR="00C83E85">
        <w:rPr>
          <w:rFonts w:ascii="楷体_GB2312" w:eastAsia="楷体_GB2312" w:hAnsi="仿宋" w:hint="eastAsia"/>
          <w:color w:val="333333"/>
          <w:sz w:val="28"/>
          <w:szCs w:val="28"/>
        </w:rPr>
        <w:t>日起</w:t>
      </w:r>
      <w:bookmarkStart w:id="0" w:name="_GoBack"/>
      <w:bookmarkEnd w:id="0"/>
      <w:r w:rsidRPr="000A6561">
        <w:rPr>
          <w:rFonts w:ascii="楷体_GB2312" w:eastAsia="楷体_GB2312" w:hAnsi="仿宋" w:hint="eastAsia"/>
          <w:color w:val="333333"/>
          <w:sz w:val="28"/>
          <w:szCs w:val="28"/>
        </w:rPr>
        <w:t>施行）</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第一章 总 则</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为规范特殊医学用途配方食品注册行为，加强注册管理，保证特殊医学用途配方食品质量安全，根据《中华人民共和国食品安全法》等法律法规，制定本办法。</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在中华人民共和国境内生产销售和进口的特殊医学用途配方食品的注册管理，适用本办法。</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特殊医学用途配方食品注册，是指国家食品药品监督管理总局根据申请，依照本办法规定的程序和要求，对特殊医学用途配方食品的产品配方、生产工艺、标签、说明书以及产品安全性、营养充足性和特殊医学用途临床效果进行审查，并决定是否准予注册的过程。</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特殊医学用途配方食品注册管理，应当遵循科学、公开、公平、公正的原则。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国家食品药品监督管理总局负责特殊医学用途配方食品的注册管理工作。</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国家食品药品监督管理总局行政受理机构（以下简称受理机构）负责特殊医学用途配方食品注册申请的受理工作。</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国家食品药品监督管理总局食品审评机构（以下简称审评机构）负责特殊医学用途配方食品注册申请的审评工作。</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国家食品药品监督管理总局审核查验机构（以下简称核查机构）负责特殊医学用途配方食品注册审评过程中的现场核查工作。</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国家食品药品监督管理总局组建由食品营养、临床医学、食品安全、食品加工等领域专家组成的特殊医学用途配方食品注册审评专家库。</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国家食品药品监督管理总局应当加强信息化建设，提高特殊医学用途配方食品注册管理信息化水平。</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第二章 注 册</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28"/>
          <w:szCs w:val="28"/>
        </w:rPr>
        <w:t>第一节 申请与受理</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特殊医学用途配方食品注册申请人（以下简称申请人）应当为拟在我国境内生产并销售特殊医学用途配方食品的生产企业和拟向我国境内出口特殊医学用途配方食品的境外生产企业。</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申请人应当具备与所生产特殊医学用途配方食品相适应的研发、生产能力，设立特殊医学用途配方食品研发机构，配备专职的产品研发人员、食品安全管理人员和食品安全专业技术人员，按照良好生产规范要求建立与所生产食品相适应的生产质量管理体系，具备按照特殊医学用途配方食品国家标准规定的全部项目逐批检验的能力。</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研发机构中应当有食品相关专业高级职称或者相应专业能力的人员。</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申请特殊医学用途配方食品注册，应当向国家食品药品监督管理总局提交下列材料：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（一）特殊医学用途配方食品注册申请书；</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（二）产品研发报告和产品配方设计及其依据；</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（三）生产工艺资料；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（四）产品标准要求；</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（五）产品标签、说明书样稿；</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（六）试验样品检验报告；</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（七）研发、生产和检验能力证明材料；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（八）其他表明产品安全性、营养充足性以及特殊医学用途临床效果的材料。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申请特定全营养配方食品注册，还应当提交临床试验报告。</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申请人应当对其申请材料的真实性负责。</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受理机构对申请人提出的特殊医学用途配方食品注册申请，应当根据下列情况分别作出处理：</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（一）申请事项依法不需要进行注册的，应当即时告知申请人不受理；</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（二）申请事项依法不属于国家食品药品监督管理总局职权范围的，应当即时作出不予受理的决定，并告知申请人向有关行政机关申请；</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（三）申请材料存在可以当场更正的错误的，应当允许申请人当场更正；</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（四）申请材料不齐全或者不符合法定形式的，应当当场或者在5个工作日内一次告知申请人需要补正的全部内容，逾期不告知的，自收到申请材料之日起即为受理；</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（五）申请事项属于国家食品药品监督管理总局职权范围，申请材料齐全、符合法定形式，或者申请人按照要求提交全部补正申请材料的，应当受理注册申请。</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受理机构受理或者不予受理注册申请，应当出具加盖国家食品药品监督管理总局行政许可受理专用章和注明日期的书面凭证。</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28"/>
          <w:szCs w:val="28"/>
        </w:rPr>
        <w:t>第二节 审查与决定</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审评机构应当对申请材料进行审查，并根据实际需要组织对申请人进行现场核查、对试验样品进行抽样检验、对临床试验进行现场核查和对专业问题进行专家论证。</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核查机构应当自接到审评机构通知之日起20个工作日内完成对申请人的研发能力、生产能力、检验能力等情况的现场核查，并出具核查报告。</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核查机构应当通知申请人所在地省级食品药品监督管理部门参与现场核查，省级食品药品监督管理部门应当派员参与现场核查。</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审评机构应当委托具有法定资质的食品检验机构进行抽样检验。</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检验机构应当自接受委托之日起30个工作日内完成抽样检验。</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核查机构应当自接到审评机构通知之日起40个工作日内完成对临床试验的真实性、完整性、准确性等情况的现场核查，并出具核查报告。</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审评机构可以从特殊医学用途配方食品注册审评专家库中选取专家，对审评过程中遇到的问题进行论证，并形成专家意见。</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审评机构应当自收到受理材料之日起60个工作日内根据核查报告、检验报告以及专家意见完成技术审评工作，并作出审查结论。</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审评过程中需要申请人补正材料的，审评机构应当一次告知需要补正的全部内容。申请人应当在6个月内一次补正材料。补正材料的时间不计算在审评时间内。</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特殊情况下需要延长审评时间的，经审评机构负责人同意，可以延长30个工作日，延长决定应当及时书面告知申请人。</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审评机构认为申请材料真实，产品科学、安全，生产工艺合理、可行和质量可控，技术要求和检验方法科学、合理的，应当提出予以注册的建议。</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审评机构提出不予注册建议的，应当向申请人发出拟不予注册的书面通知。申请人对通知有异议的，应当自收到通知之日起20个工作日内向审评机构提出书面复审申请并说明复审理由。复审的内容仅限于原申请事项及申请材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审评机构应当自受理复审申请之日起30个工作日内作出复审决定。改变不予注册建议的，应当书面通知注册申请人。</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国家食品药品监督管理总局应当自受理申请之日起20个工作日内对特殊医学用途配方食品注册申请作出是否准予注册的决定。</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现场核查、抽样检验、复审所需要的时间不计算在审评和注册决定的期限内。</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对于申请进口特殊医学用途配方食品注册的，应当根据境外生产企业的实际情况，确定境外现场核查和抽样检验时限。</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国家食品药品监督管理总局作出准予注册决定的，受理机构自决定之日起10个工作日内颁发、送达特殊医学用途配方食品注册证书；作出不予注册决定的，应当说明理由，</w:t>
      </w:r>
      <w:r>
        <w:rPr>
          <w:rFonts w:ascii="仿宋" w:eastAsia="仿宋" w:hAnsi="仿宋" w:hint="eastAsia"/>
          <w:color w:val="333333"/>
          <w:sz w:val="32"/>
          <w:szCs w:val="32"/>
        </w:rPr>
        <w:lastRenderedPageBreak/>
        <w:t>受理机构自决定之日起10个工作日内发出特殊医学用途配方食品不予注册决定，并告知申请人享有依法申请行政复议或者提起行政诉讼的权利。</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特殊医学用途配方食品注册证书有效期限为5年。</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特殊医学用途配方食品注册证书及附件应当载明下列事项：</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（一）产品名称；</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（二）企业名称、生产地址；</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（三）注册号及有效期；</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（四）产品类别；</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（五）产品配方；</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（六）生产工艺；</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（七）产品标签、说明书。</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特殊医学用途配方食品注册号的格式为：国食注字TY+4位年号+4位顺序号，其中TY代表特殊医学用途配方食品。</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28"/>
          <w:szCs w:val="28"/>
        </w:rPr>
        <w:t>第三节 变更与延续注册</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申请人需要变更特殊医学用途配方食品注册证书及其附件载明事项的，应当向国家食品药品监督管理总局提出变更注册申请，并提交下列材料：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（一）特殊医学用途配方食品变更注册申请书；</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（二）变更注册证书及其附件载明事项的证明材料。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申请人变更产品配方、生产工艺等可能影响产品安全性、营养充足性以及特殊医学用途临床效果的事项，国家食品药品监督管理总局应当进行实质性审查，并在本办法第十八条规定的期限内完成变更注册工作。</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申请人变更企业名称、生产地址名称等不影响产品安全性、营养充足性以及特殊医学用途临床效果的事项，国家食品药品监督管理总局应当进行核实，并自受理之日起10个工作日内作出是否准予变更注册的决定。</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国家食品药品监督管理总局准予变更注册申请的，向申请人换发注册证书，原注册号不变，证书有效期不变；不予批准变更注册申请的，应当作出不予变更注册决定。</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特殊医学用途配方食品注册证书有效期届满，需要继续生产或者进口的，应当在有效期届满6个月前，向国家食品药品监督管理总局提出延续注册申请，并提交下列材料：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（一）特殊医学用途配方食品延续注册申请书；</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（二）特殊医学用途配方食品质量安全管理情况；</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（三）特殊医学用途配方食品质量管理体系自查报告；</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（四）特殊医学用途配方食品跟踪评价情况。</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国家食品药品监督管理总局根据需要对延续注册申请进行实质性审查，并在本办法第十八条规定的期限内完成延续注册工作。逾期未作决定的，视为准予延续。</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国家食品药品监督管理总局准予延续注册的，向申请人换发注册证书，原注册号不变，证书有效期自批准之日起重新计算；不批准延续注册申请的，应当作出不予延续注册决定。</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有下列情形之一的，不予延续注册：</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（一）注册人未在规定时间内提出延续注册申请的；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（二）注册产品连续12个月内在省级以上监督抽检中出现3批次以上不合格的；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（三）企业未能保持注册时生产、检验能力的；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（四）其他不符合法律法规以及产品安全性、营养充足性和特殊医学用途临床效果要求的情形。</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特殊医学用途配方食品变更注册与延续注册程序，本节未作规定的，适用本章第一节、第二节的相关规定。</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第三章 临床试验</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特定全营养配方食品需要进行临床试验的，由申请人委托符合要求的临床试验机构出具临床试验报告。临床试验报告应当包括完整的统计分析报告和数据。</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临床试验应当按照特殊医学用途配方食品临床试验质量管理规范开展。</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特殊医学用途配方食品临床试验质量管理规范由国家食品药品监督管理总局发布。</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申请人组织开展多中心临床试验的，应当明确组长单位和统计单位。</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申请人应当对用于临床试验的试验样品和对照样品的质量安全负责。</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用于临床试验的试验样品应当由申请人生产并经检验合格，生产条件应当符合特殊医学用途配方食品良好生产规范。</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lastRenderedPageBreak/>
        <w:t>第四章 标签和说明书</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特殊医学用途配方食品的标签，应当依照法律、法规、规章和食品安全国家标准的规定进行标注。</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特殊医学用途配方食品的标签和说明书的内容应当一致，涉及特殊医学用途配方食品注册证书内容的，应当与注册证书内容一致，并标明注册号。</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标签已经涵盖说明书全部内容的，可以不另附说明书。</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特殊医学用途配方食品标签、说明书应当真实准确、清晰持久、醒目易读。</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特殊医学用途配方食品标签、说明书不得含有虚假内容，不得涉及疾病预防、治疗功能。生产企业对其提供的标签、说明书的内容负责。</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特殊医学用途配方食品的名称应当反映食品的真实属性，使用食品安全国家标准规定的分类名称或者等效名称。</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特殊医学用途配方食品标签、说明书应当按照食品安全国家标准的规定在醒目位置标示下列内容：</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（一）请在医生或者临床营养师指导下使用；</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（二）不适用于非目标人群使用；</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（三）本品禁止用于肠外营养支持和静脉注射。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第五章 监督检查</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特殊医学用途配方食品生产企业应当按照批准注册的产品配方、生产工艺等技术要求组织生产，保证特殊医学用途配方食品安全。</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特殊医学用途配方食品生产企业提出的变更注册申请未经批准前，应当严格按照已经批准的注册证书及其附件载明的内容组织生产，不得擅自改变生产条件和要求。</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特殊医学用途配方食品生产企业提出的变更注册申请经批准后，应当严格按照变更后的特殊医学用途配方食品注册证书及其附件载明的内容组织生产。</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参与特殊医学用途配方食品注册申请受理、技术审评、现场核查、抽样检验、临床试验等工作的人员和专家，应当保守注册中知悉的商业秘密。</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申请人应当按照国家有关规定对申请材料中的商业秘密进行标注并注明依据。</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有下列情形之一的，国家食品药品监督管理总局根据利害关系人的请求或者依据职权，可以撤销特殊医学用途配方食品注册：</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（一）工作人员滥用职权、玩忽职守作出准予注册决定的；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（二）超越法定职权作出准予注册决定的；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（三）违反法定程序作出准予注册决定的；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（四）对不具备申请资格或者不符合法定条件的申请人准予注册的；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（五）食品生产许可证被吊销的；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（六）依法可以撤销注册的其他情形。</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有下列情形之一的，国家食品药品监督管理总局应当依法办理特殊医学用途配方食品注册注销手续：</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（一）企业申请注销的；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（二）有效期届满未延续的；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（三）企业依法终止的；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（四）注册依法被撤销、撤回，或者注册证书依法被吊销的；</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（五）法律法规规定应当注销注册的其他情形。</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第六章 法律责任</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lastRenderedPageBreak/>
        <w:t> </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申请人隐瞒真实情况或者提供虚假材料申请注册的，国家食品药品监督管理总局不予受理或者不予注册，并给予警告；申请人在1年内不得再次申请注册。</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被许可人以欺骗、贿赂等不正当手段取得注册证书的，由国家食品药品监督管理总局撤销注册证书，并处1万元以上3万元以下罚款；申请人在3年内不得再次申请注册。</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伪造、涂改、倒卖、出租、出借、转让特殊医学用途配方食品注册证书的，由县级以上食品药品监督管理部门责令改正，给予警告，并处1万元以下罚款；情节严重的，处1万元以上3万元以下罚款。</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注册人变更不影响产品安全性、营养充足性以及特殊医学用途临床效果的事项，未依法申请变更的，由县级以上食品药品监督管理部门责令改正，给予警告；拒不改正的，处1万元以上3万元以下罚款。</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注册人变更产品配方、生产工艺等影响产品安全性、营养充足性以及特殊医学用途临床效果的事项，未依法申请变更的，由县级以上食品药品监督管理部门依照食品安全法第一百二十四条第一款的规定进行处罚。</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食品药品监督管理部门及其工作人员对不符合条件的申请人准予注册，或者超越法定职权准予注册的，依照食品安全法第一百四十四条的规定给予处理。</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食品药品监督管理部门及其工作人员在注册审批过程中滥用职权、玩忽职守、徇私舞弊的，依照食品安全法第一百四十五条的规定给予处理。</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第七章 附 则</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hint="eastAsia"/>
          <w:color w:val="333333"/>
          <w:sz w:val="32"/>
          <w:szCs w:val="32"/>
        </w:rPr>
        <w:t> </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特殊医学用途配方食品，是指为满足进食受限、消化吸收障碍、代谢紊乱或者特定疾病状态人群对营养素或者膳食的特殊需要，专门加工配制而成的配方食品，包括适用于0月龄至12月龄的特殊医学用途婴儿配方食品和适用于1岁以上人群的特殊医学用途配方食品。</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适用于0月龄至12月龄的特殊医学用途婴儿配方食品包括无乳糖配方食品或者低乳糖配方食品、乳蛋白部分水解配方食品、乳蛋白深度水解配方食品或者氨基酸配方食品、早产或者低出生体重婴儿配方食品、氨基酸代谢障碍配方食品和母乳营养补充剂等。</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适用于1岁以上人群的特殊医学用途配方食品，包括全营养配方食品、特定全营养配方食品、非全营养配方食品。</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全营养配方食品，是指可以作为单一营养来源满足目标人群营养需求的特殊医学用途配方食品。</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特定全营养配方食品，是指可以作为单一营养来源满足目标人群在特定疾病或者医学状况下营养需求的特殊医学用途配方食品。常见特定全营养配方食品有：糖尿病全营养配方食品，呼吸系统疾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非全营养配方食品，是指可以满足目标人群部分营养需求的特殊医学用途配方食品，不适用于作为单一营养来源。常见非全营养配方食品有：营养素组件（蛋白质组件、脂肪组件、碳水化合物组件），电解质配方，增稠组件，流质配方和氨基酸代谢障碍配方。</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医疗机构配制供病人食用的营养餐不适用本办法。</w:t>
      </w:r>
    </w:p>
    <w:p w:rsidR="00C85A89" w:rsidRDefault="00C85A89" w:rsidP="00C85A89">
      <w:pPr>
        <w:pStyle w:val="aa"/>
        <w:shd w:val="clear" w:color="auto" w:fill="FFFFFF"/>
        <w:spacing w:before="0" w:beforeAutospacing="0" w:after="0" w:afterAutospacing="0" w:line="630" w:lineRule="atLeast"/>
        <w:jc w:val="both"/>
        <w:rPr>
          <w:rFonts w:ascii="仿宋" w:eastAsia="仿宋" w:hAnsi="仿宋"/>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本办法自2016年7月1日起施行。</w:t>
      </w:r>
    </w:p>
    <w:p w:rsidR="00891FFC" w:rsidRDefault="00891FFC"/>
    <w:sectPr w:rsidR="00891FF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8A" w:rsidRDefault="00DC588A">
      <w:r>
        <w:separator/>
      </w:r>
    </w:p>
  </w:endnote>
  <w:endnote w:type="continuationSeparator" w:id="0">
    <w:p w:rsidR="00DC588A" w:rsidRDefault="00DC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3E8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3E8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C85A89">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8A" w:rsidRDefault="00DC588A">
      <w:r>
        <w:separator/>
      </w:r>
    </w:p>
  </w:footnote>
  <w:footnote w:type="continuationSeparator" w:id="0">
    <w:p w:rsidR="00DC588A" w:rsidRDefault="00DC5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A6561"/>
    <w:rsid w:val="000F7C3B"/>
    <w:rsid w:val="00172A27"/>
    <w:rsid w:val="00190F0F"/>
    <w:rsid w:val="0033231D"/>
    <w:rsid w:val="005F1562"/>
    <w:rsid w:val="00637CAC"/>
    <w:rsid w:val="00750507"/>
    <w:rsid w:val="00891FFC"/>
    <w:rsid w:val="00915729"/>
    <w:rsid w:val="00960532"/>
    <w:rsid w:val="009D125D"/>
    <w:rsid w:val="00AC5533"/>
    <w:rsid w:val="00B900B7"/>
    <w:rsid w:val="00BA7A05"/>
    <w:rsid w:val="00C26E20"/>
    <w:rsid w:val="00C83E85"/>
    <w:rsid w:val="00C85A89"/>
    <w:rsid w:val="00D7266E"/>
    <w:rsid w:val="00DC588A"/>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85A8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85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85A8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85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7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1014</Words>
  <Characters>5784</Characters>
  <Application>Microsoft Office Word</Application>
  <DocSecurity>0</DocSecurity>
  <Lines>48</Lines>
  <Paragraphs>13</Paragraphs>
  <ScaleCrop>false</ScaleCrop>
  <Company>Home</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28</cp:revision>
  <cp:lastPrinted>2021-10-26T03:30:00Z</cp:lastPrinted>
  <dcterms:created xsi:type="dcterms:W3CDTF">2021-09-09T02:41:00Z</dcterms:created>
  <dcterms:modified xsi:type="dcterms:W3CDTF">2023-05-23T08:41:00Z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