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E6A" w:rsidRDefault="00C51E6A" w:rsidP="00C51E6A">
      <w:pPr>
        <w:pStyle w:val="gztitle"/>
        <w:spacing w:before="0" w:beforeAutospacing="0" w:after="0" w:afterAutospacing="0" w:line="630" w:lineRule="atLeast"/>
        <w:jc w:val="center"/>
        <w:rPr>
          <w:rFonts w:ascii="黑体" w:eastAsia="黑体" w:hAnsi="黑体" w:hint="eastAsia"/>
          <w:b/>
          <w:sz w:val="36"/>
          <w:szCs w:val="36"/>
        </w:rPr>
      </w:pPr>
    </w:p>
    <w:p w:rsidR="00C51E6A" w:rsidRDefault="00C51E6A" w:rsidP="00C51E6A">
      <w:pPr>
        <w:pStyle w:val="gztitle"/>
        <w:spacing w:before="0" w:beforeAutospacing="0" w:after="0" w:afterAutospacing="0" w:line="630" w:lineRule="atLeast"/>
        <w:jc w:val="center"/>
        <w:rPr>
          <w:rFonts w:ascii="黑体" w:eastAsia="黑体" w:hAnsi="黑体" w:hint="eastAsia"/>
          <w:b/>
          <w:sz w:val="36"/>
          <w:szCs w:val="36"/>
        </w:rPr>
      </w:pPr>
      <w:r w:rsidRPr="00C51E6A">
        <w:rPr>
          <w:rFonts w:ascii="黑体" w:eastAsia="黑体" w:hAnsi="黑体" w:hint="eastAsia"/>
          <w:b/>
          <w:sz w:val="36"/>
          <w:szCs w:val="36"/>
        </w:rPr>
        <w:t>国家认监委关于进一步明确检验检测机构</w:t>
      </w:r>
      <w:r w:rsidRPr="00C51E6A">
        <w:rPr>
          <w:rFonts w:ascii="黑体" w:eastAsia="黑体" w:hAnsi="黑体" w:hint="eastAsia"/>
          <w:b/>
          <w:sz w:val="36"/>
          <w:szCs w:val="36"/>
        </w:rPr>
        <w:br/>
        <w:t>资质认定工作有关问题的通知</w:t>
      </w:r>
    </w:p>
    <w:p w:rsidR="00C51E6A" w:rsidRPr="00C51E6A" w:rsidRDefault="00C51E6A" w:rsidP="00C51E6A">
      <w:pPr>
        <w:pStyle w:val="gztitle"/>
        <w:spacing w:before="0" w:beforeAutospacing="0" w:after="0" w:afterAutospacing="0" w:line="630" w:lineRule="atLeast"/>
        <w:jc w:val="center"/>
        <w:rPr>
          <w:rFonts w:ascii="黑体" w:eastAsia="黑体" w:hAnsi="黑体"/>
          <w:b/>
          <w:sz w:val="36"/>
          <w:szCs w:val="36"/>
        </w:rPr>
      </w:pPr>
    </w:p>
    <w:p w:rsidR="00C51E6A" w:rsidRDefault="00C51E6A" w:rsidP="00C51E6A">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r>
        <w:rPr>
          <w:rFonts w:ascii="仿宋" w:eastAsia="仿宋" w:hAnsi="仿宋" w:hint="eastAsia"/>
          <w:color w:val="333333"/>
          <w:sz w:val="32"/>
          <w:szCs w:val="32"/>
        </w:rPr>
        <w:t>国认实〔2017〕2号</w:t>
      </w:r>
    </w:p>
    <w:p w:rsidR="00C51E6A" w:rsidRDefault="00C51E6A" w:rsidP="00C51E6A">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p>
    <w:p w:rsidR="00C51E6A" w:rsidRDefault="00C51E6A" w:rsidP="00C51E6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各省、自治区、直辖市质量技术监督局（市</w:t>
      </w:r>
      <w:bookmarkStart w:id="0" w:name="_GoBack"/>
      <w:bookmarkEnd w:id="0"/>
      <w:r>
        <w:rPr>
          <w:rFonts w:ascii="仿宋" w:eastAsia="仿宋" w:hAnsi="仿宋" w:hint="eastAsia"/>
          <w:color w:val="333333"/>
          <w:sz w:val="32"/>
          <w:szCs w:val="32"/>
        </w:rPr>
        <w:t>场监督管理部门）：</w:t>
      </w:r>
    </w:p>
    <w:p w:rsidR="00C51E6A" w:rsidRDefault="00C51E6A" w:rsidP="00C51E6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为贯彻落实国务院推进简政放权、放管结合、优化服务改革工作要求，深化检验检测机构资质认定行政许可制度改革，建立统一的检验检测机构资质认定制度，质检总局和国家认监委发布了《检验检测机构资质认定管理办法》、《关于实施&lt;检验检测机构资质认定管理办法&gt;的若干意见》、《关于实施&lt;检验检测机构资质认定配套工作程序和技术要求&gt;的通知》、《检验检测机构资质认定评审准则》等系列规范性文件。但近期在对各地的监督检查中发现有的地方在执行中与规范性文件要求不一致，同时也为落实国家审计署对资质认定提出的相关要求，现就检验检测机构资质认定有关工作进一步明确如下，请各地认真贯彻执行。</w:t>
      </w:r>
    </w:p>
    <w:p w:rsidR="00C51E6A" w:rsidRDefault="00C51E6A" w:rsidP="00C51E6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一、资质认定部门应当认真贯彻落实行政许可制度改革的要求，执行放宽主体准入条件、允许租赁设备和分包、许可非标方法等释放红利的政策措施，简化审批手续，规范审批流程。</w:t>
      </w:r>
    </w:p>
    <w:p w:rsidR="00C51E6A" w:rsidRDefault="00C51E6A" w:rsidP="00C51E6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为规范产品标识标签的检验检测行为，降低因标识标签检验检测不规范导致的许可风险，本通知发布之日起，检验检测机构申请标识标签检验检测能力资质认定时，若检验检测机构仅对产品标识标签的完整性、规范性进行核查，不对产品的实物与标识标签内容真实性进行检验检测，应在限制范围予以说明。资质认定部门对检验检测机构提交的标识标签相关标准进行资质认定评审时，应审核检验检测机构是否具备标识标签真实性检验检测的技术能力。取得含限制范围标识标签项目资质认定的机构，在对外出具相关检验检测报告时，应在委托合同及检验检测报告上注明标识标签检验检测结果“不包括内容真实性的核实”或类似描述。</w:t>
      </w:r>
    </w:p>
    <w:p w:rsidR="00C51E6A" w:rsidRDefault="00C51E6A" w:rsidP="00C51E6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资质认定部门在受理资质认定申请时，不得设置前置条件，国家质检中心、省级质检院所、出入境检验检疫技术机构、国家级司法鉴定机构可自愿申请实验室和检验机构认可。资质认定部门要加强信息化建设，推行“互联网+政务服务”建设。</w:t>
      </w:r>
    </w:p>
    <w:p w:rsidR="00C51E6A" w:rsidRDefault="00C51E6A" w:rsidP="00C51E6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四、为便利检验检测机构办理招投标等相关事务，资质认定部门可根据实际情况为检验检测机构核发资质认定证书副本（式样见附件），资质认定证书正、副本具备同等法律效力。</w:t>
      </w:r>
    </w:p>
    <w:p w:rsidR="00C51E6A" w:rsidRDefault="00C51E6A" w:rsidP="00C51E6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C51E6A" w:rsidRDefault="00C51E6A" w:rsidP="00C51E6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附件：资质认定证书副本式样</w:t>
      </w:r>
    </w:p>
    <w:p w:rsidR="00C51E6A" w:rsidRDefault="00C51E6A" w:rsidP="00C51E6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C51E6A" w:rsidRDefault="00C51E6A" w:rsidP="00C51E6A">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国家认监委</w:t>
      </w:r>
    </w:p>
    <w:p w:rsidR="00C51E6A" w:rsidRDefault="00C51E6A" w:rsidP="00C51E6A">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2017年1月3日</w:t>
      </w:r>
    </w:p>
    <w:p w:rsidR="00C51E6A" w:rsidRDefault="00C51E6A" w:rsidP="00C51E6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（此件公开发布）</w:t>
      </w:r>
    </w:p>
    <w:p w:rsidR="00C51E6A" w:rsidRDefault="00C51E6A" w:rsidP="00C51E6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C51E6A" w:rsidRDefault="00C51E6A" w:rsidP="00C51E6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C51E6A" w:rsidRDefault="00C51E6A" w:rsidP="00C51E6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C51E6A" w:rsidRDefault="00C51E6A" w:rsidP="00C51E6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C51E6A" w:rsidRDefault="00C51E6A" w:rsidP="00C51E6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C51E6A" w:rsidRDefault="00C51E6A" w:rsidP="00C51E6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C51E6A" w:rsidRDefault="00C51E6A" w:rsidP="00C51E6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C51E6A" w:rsidRDefault="00C51E6A" w:rsidP="00C51E6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C51E6A" w:rsidRDefault="00C51E6A" w:rsidP="00C51E6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C51E6A" w:rsidRDefault="00C51E6A" w:rsidP="00C51E6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C51E6A" w:rsidRDefault="00C51E6A" w:rsidP="00C51E6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附件</w:t>
      </w:r>
    </w:p>
    <w:p w:rsidR="00C51E6A" w:rsidRDefault="00C51E6A" w:rsidP="00C51E6A">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r>
        <w:rPr>
          <w:rStyle w:val="ab"/>
          <w:rFonts w:ascii="仿宋" w:eastAsia="仿宋" w:hAnsi="仿宋" w:hint="eastAsia"/>
          <w:color w:val="333333"/>
          <w:sz w:val="32"/>
          <w:szCs w:val="32"/>
        </w:rPr>
        <w:t>资质认定证书副本式样</w:t>
      </w:r>
    </w:p>
    <w:p w:rsidR="00891FFC" w:rsidRPr="00C51E6A" w:rsidRDefault="00C51E6A" w:rsidP="00C51E6A">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ascii="微软雅黑" w:eastAsia="微软雅黑" w:hAnsi="微软雅黑"/>
          <w:noProof/>
          <w:color w:val="333333"/>
          <w:sz w:val="32"/>
          <w:szCs w:val="32"/>
          <w:bdr w:val="none" w:sz="0" w:space="0" w:color="auto" w:frame="1"/>
        </w:rPr>
        <w:drawing>
          <wp:inline distT="0" distB="0" distL="0" distR="0" wp14:anchorId="343FCFF9" wp14:editId="0F1A56B5">
            <wp:extent cx="4899600" cy="6865200"/>
            <wp:effectExtent l="0" t="0" r="0" b="0"/>
            <wp:docPr id="2" name="图片 2" descr="http://10.23.21.46:31474/cms_files/filemanager/1647978232/picture/20238/259fdbeb23314c1ebe6050ea987b38d8.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23.21.46:31474/cms_files/filemanager/1647978232/picture/20238/259fdbeb23314c1ebe6050ea987b38d8.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9600" cy="6865200"/>
                    </a:xfrm>
                    <a:prstGeom prst="rect">
                      <a:avLst/>
                    </a:prstGeom>
                    <a:noFill/>
                    <a:ln>
                      <a:noFill/>
                    </a:ln>
                  </pic:spPr>
                </pic:pic>
              </a:graphicData>
            </a:graphic>
          </wp:inline>
        </w:drawing>
      </w:r>
    </w:p>
    <w:sectPr w:rsidR="00891FFC" w:rsidRPr="00C51E6A">
      <w:headerReference w:type="default" r:id="rId10"/>
      <w:footerReference w:type="default" r:id="rId11"/>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F06" w:rsidRDefault="00054F06">
      <w:r>
        <w:separator/>
      </w:r>
    </w:p>
  </w:endnote>
  <w:endnote w:type="continuationSeparator" w:id="0">
    <w:p w:rsidR="00054F06" w:rsidRDefault="0005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51E6A">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51E6A">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F06" w:rsidRDefault="00054F06">
      <w:r>
        <w:separator/>
      </w:r>
    </w:p>
  </w:footnote>
  <w:footnote w:type="continuationSeparator" w:id="0">
    <w:p w:rsidR="00054F06" w:rsidRDefault="00054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4F06"/>
    <w:rsid w:val="00090A43"/>
    <w:rsid w:val="000E0EC4"/>
    <w:rsid w:val="000F7C3B"/>
    <w:rsid w:val="00172A27"/>
    <w:rsid w:val="00190F0F"/>
    <w:rsid w:val="00207744"/>
    <w:rsid w:val="002F2B45"/>
    <w:rsid w:val="00391DEC"/>
    <w:rsid w:val="003D0EA2"/>
    <w:rsid w:val="00414E80"/>
    <w:rsid w:val="00446A16"/>
    <w:rsid w:val="005C4BB6"/>
    <w:rsid w:val="006120F8"/>
    <w:rsid w:val="00637CAC"/>
    <w:rsid w:val="00750507"/>
    <w:rsid w:val="00840136"/>
    <w:rsid w:val="00891FFC"/>
    <w:rsid w:val="00915729"/>
    <w:rsid w:val="00960532"/>
    <w:rsid w:val="009D125D"/>
    <w:rsid w:val="00AC5533"/>
    <w:rsid w:val="00B7088B"/>
    <w:rsid w:val="00B900B7"/>
    <w:rsid w:val="00BA7A05"/>
    <w:rsid w:val="00C26E20"/>
    <w:rsid w:val="00C51E6A"/>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547908554">
      <w:bodyDiv w:val="1"/>
      <w:marLeft w:val="0"/>
      <w:marRight w:val="0"/>
      <w:marTop w:val="0"/>
      <w:marBottom w:val="0"/>
      <w:divBdr>
        <w:top w:val="none" w:sz="0" w:space="0" w:color="auto"/>
        <w:left w:val="none" w:sz="0" w:space="0" w:color="auto"/>
        <w:bottom w:val="none" w:sz="0" w:space="0" w:color="auto"/>
        <w:right w:val="none" w:sz="0" w:space="0" w:color="auto"/>
      </w:divBdr>
      <w:divsChild>
        <w:div w:id="77558017">
          <w:marLeft w:val="0"/>
          <w:marRight w:val="0"/>
          <w:marTop w:val="0"/>
          <w:marBottom w:val="0"/>
          <w:divBdr>
            <w:top w:val="none" w:sz="0" w:space="0" w:color="auto"/>
            <w:left w:val="none" w:sz="0" w:space="0" w:color="auto"/>
            <w:bottom w:val="none" w:sz="0" w:space="0" w:color="auto"/>
            <w:right w:val="none" w:sz="0" w:space="0" w:color="auto"/>
          </w:divBdr>
        </w:div>
      </w:divsChild>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10.23.21.46:31474/cms_files/filemanager/1647978232/picture/20238/259fdbeb23314c1ebe6050ea987b38d8.jp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489</Words>
  <Characters>489</Characters>
  <Application>Microsoft Office Word</Application>
  <DocSecurity>0</DocSecurity>
  <Lines>21</Lines>
  <Paragraphs>10</Paragraphs>
  <ScaleCrop>false</ScaleCrop>
  <Company>Home</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2023-08-03T03:08:00Z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