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4D1" w:rsidRDefault="007E34D1" w:rsidP="007E34D1">
      <w:pPr>
        <w:pStyle w:val="gztitle"/>
        <w:shd w:val="clear" w:color="auto" w:fill="FFFFFF"/>
        <w:spacing w:before="0" w:beforeAutospacing="0" w:after="0" w:afterAutospacing="0" w:line="630" w:lineRule="atLeast"/>
        <w:jc w:val="center"/>
        <w:rPr>
          <w:rFonts w:hint="eastAsia"/>
          <w:color w:val="333333"/>
        </w:rPr>
      </w:pPr>
    </w:p>
    <w:p w:rsidR="007E34D1" w:rsidRPr="007E34D1" w:rsidRDefault="007E34D1" w:rsidP="007E34D1">
      <w:pPr>
        <w:pStyle w:val="gztitle"/>
        <w:shd w:val="clear" w:color="auto" w:fill="FFFFFF"/>
        <w:spacing w:before="0" w:beforeAutospacing="0" w:after="0" w:afterAutospacing="0" w:line="630" w:lineRule="atLeast"/>
        <w:jc w:val="center"/>
        <w:rPr>
          <w:rFonts w:ascii="黑体" w:eastAsia="黑体" w:hAnsi="黑体"/>
          <w:b/>
          <w:color w:val="333333"/>
          <w:sz w:val="36"/>
          <w:szCs w:val="36"/>
        </w:rPr>
      </w:pPr>
      <w:r w:rsidRPr="007E34D1">
        <w:rPr>
          <w:rFonts w:ascii="黑体" w:eastAsia="黑体" w:hAnsi="黑体" w:hint="eastAsia"/>
          <w:b/>
          <w:color w:val="333333"/>
          <w:sz w:val="36"/>
          <w:szCs w:val="36"/>
        </w:rPr>
        <w:t>国家标准化指导性技术文件管理规定</w:t>
      </w:r>
    </w:p>
    <w:p w:rsidR="007E34D1" w:rsidRDefault="007E34D1" w:rsidP="007E34D1">
      <w:pPr>
        <w:pStyle w:val="gztz"/>
        <w:shd w:val="clear" w:color="auto" w:fill="FFFFFF"/>
        <w:spacing w:before="0" w:beforeAutospacing="0" w:after="0" w:afterAutospacing="0" w:line="540" w:lineRule="atLeast"/>
        <w:jc w:val="center"/>
        <w:rPr>
          <w:rFonts w:hint="eastAsia"/>
          <w:color w:val="333333"/>
        </w:rPr>
      </w:pPr>
      <w:r>
        <w:rPr>
          <w:rFonts w:hint="eastAsia"/>
          <w:color w:val="333333"/>
        </w:rPr>
        <w:t>质技监局标发〔1998〕181号</w:t>
      </w:r>
    </w:p>
    <w:p w:rsidR="007E34D1" w:rsidRDefault="007E34D1" w:rsidP="007E34D1">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仿宋" w:eastAsia="仿宋" w:hAnsi="仿宋" w:hint="eastAsia"/>
          <w:color w:val="333333"/>
          <w:sz w:val="32"/>
          <w:szCs w:val="32"/>
        </w:rPr>
        <w:t>1998年12月24日</w:t>
      </w:r>
      <w:bookmarkStart w:id="0" w:name="_GoBack"/>
      <w:bookmarkEnd w:id="0"/>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第一条</w:t>
      </w:r>
      <w:r>
        <w:rPr>
          <w:rFonts w:ascii="仿宋" w:eastAsia="仿宋" w:hAnsi="仿宋" w:hint="eastAsia"/>
          <w:color w:val="333333"/>
          <w:sz w:val="32"/>
          <w:szCs w:val="32"/>
        </w:rPr>
        <w:t xml:space="preserve">　为了使我国标准化工作适应社会主义市场经济发展的需要,有利于国际交流,规范国家标准化指导性技术文件(以下简称“指导性技术文件”)的管理工作,特制定本规定。</w:t>
      </w:r>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第二条</w:t>
      </w:r>
      <w:r>
        <w:rPr>
          <w:rFonts w:ascii="仿宋" w:eastAsia="仿宋" w:hAnsi="仿宋" w:hint="eastAsia"/>
          <w:color w:val="333333"/>
          <w:sz w:val="32"/>
          <w:szCs w:val="32"/>
        </w:rPr>
        <w:t xml:space="preserve">　指导性技术文件,是为仍处于技术发展过程中(如变化快的技术领域)的标准化工作提供指南或信息,供科研、设计、生产、使用和管理等有关人员参考使用而制定的标准文件。</w:t>
      </w:r>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第三条</w:t>
      </w:r>
      <w:r>
        <w:rPr>
          <w:rFonts w:ascii="仿宋" w:eastAsia="仿宋" w:hAnsi="仿宋" w:hint="eastAsia"/>
          <w:color w:val="333333"/>
          <w:sz w:val="32"/>
          <w:szCs w:val="32"/>
        </w:rPr>
        <w:t xml:space="preserve">　符号下列情况之一的项目,可制定指导性技术文件:</w:t>
      </w:r>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(一)技术尚在发展中,需要有相应的标准文件引导其发展或具有标准化价值,尚不能制定为标准的项目;</w:t>
      </w:r>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(二)采用国际标准化组织、国际电工委员会及其他国际组织(包括区域性国际组织)的技术报告的项目。</w:t>
      </w:r>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第四条</w:t>
      </w:r>
      <w:r>
        <w:rPr>
          <w:rFonts w:ascii="仿宋" w:eastAsia="仿宋" w:hAnsi="仿宋" w:hint="eastAsia"/>
          <w:color w:val="333333"/>
          <w:sz w:val="32"/>
          <w:szCs w:val="32"/>
        </w:rPr>
        <w:t xml:space="preserve">　指导性技术文件不宜由标准引用使其具有强制性或行政约束力。</w:t>
      </w:r>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lastRenderedPageBreak/>
        <w:t>第五条</w:t>
      </w:r>
      <w:r>
        <w:rPr>
          <w:rFonts w:ascii="仿宋" w:eastAsia="仿宋" w:hAnsi="仿宋" w:hint="eastAsia"/>
          <w:color w:val="333333"/>
          <w:sz w:val="32"/>
          <w:szCs w:val="32"/>
        </w:rPr>
        <w:t xml:space="preserve">　国务院标准化行政主管部门统一负责指导性技术文件的管理工作。</w:t>
      </w:r>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指导性技术文件由国务院标准化行政主管部门编制计划,组织草拟,统一审批、编号、发布。</w:t>
      </w:r>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第六条</w:t>
      </w:r>
      <w:r>
        <w:rPr>
          <w:rFonts w:ascii="仿宋" w:eastAsia="仿宋" w:hAnsi="仿宋" w:hint="eastAsia"/>
          <w:color w:val="333333"/>
          <w:sz w:val="32"/>
          <w:szCs w:val="32"/>
        </w:rPr>
        <w:t xml:space="preserve">　指导性技术文件的代号由大写汉语拼音字母“GB/Z”构成。</w:t>
      </w:r>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指导性技术文件的编号,由指导性技术文件的代号、顺序号和年号(即发布年份的四位数字)构成。</w:t>
      </w:r>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第七条</w:t>
      </w:r>
      <w:r>
        <w:rPr>
          <w:rFonts w:ascii="仿宋" w:eastAsia="仿宋" w:hAnsi="仿宋" w:hint="eastAsia"/>
          <w:color w:val="333333"/>
          <w:sz w:val="32"/>
          <w:szCs w:val="32"/>
        </w:rPr>
        <w:t xml:space="preserve">　指导性技术文件的制定,按《国家标准管理办法》和GB/T16733《国家标准制定程序的阶段划分及代码》的有关规定办理。</w:t>
      </w:r>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指导性技术文件项目列入《国家标准制、修订项目计划》,并在《国家标准制、修订项目计划》及其他有关文件中,用“GB/Z”注明。</w:t>
      </w:r>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第八条</w:t>
      </w:r>
      <w:r>
        <w:rPr>
          <w:rFonts w:ascii="仿宋" w:eastAsia="仿宋" w:hAnsi="仿宋" w:hint="eastAsia"/>
          <w:color w:val="333333"/>
          <w:sz w:val="32"/>
          <w:szCs w:val="32"/>
        </w:rPr>
        <w:t xml:space="preserve">　指导性技术文件的编写,参照 GB/T1《标准化工作导则》系列国家标准的规定。其中:</w:t>
      </w:r>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(一)指导性技术文件中,凡提及“指导性技术文件”自身时,采用“本指导性技术文件”的方式叙述。</w:t>
      </w:r>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lastRenderedPageBreak/>
        <w:t>(二)指导性技术文件的前言中,还应当说明需要制定本指导性技术文件的理由,采用国际标准化组织、国际电工委员会或其他国际组织的技术报告的编号和名称及其采用程度。同时注明:“本指导性技术文件仅供参考。有关对本指导性技术文件的建议和意见,向国务院标准化行政主管部门反映。”</w:t>
      </w:r>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第九条</w:t>
      </w:r>
      <w:r>
        <w:rPr>
          <w:rFonts w:ascii="仿宋" w:eastAsia="仿宋" w:hAnsi="仿宋" w:hint="eastAsia"/>
          <w:color w:val="333333"/>
          <w:sz w:val="32"/>
          <w:szCs w:val="32"/>
        </w:rPr>
        <w:t xml:space="preserve">　指导性技术文件的印刷格式,比照 GB/T1.2《标准化工作导则　第1单元:标准的起草与表述规则　第2部分:标准出版印刷的规定》,将封面和首页上的“中华人民共和国国家标准”改为“中华人民共和国国家标准化指导性技术文件”,将国家标准的编号改为指导性技术文件的编号,取消实施日期,其他各处作相应改动。</w:t>
      </w:r>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指导性技术文件的出版单位由国务院标准化行政主管部门确定。</w:t>
      </w:r>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第十条</w:t>
      </w:r>
      <w:r>
        <w:rPr>
          <w:rFonts w:ascii="仿宋" w:eastAsia="仿宋" w:hAnsi="仿宋" w:hint="eastAsia"/>
          <w:color w:val="333333"/>
          <w:sz w:val="32"/>
          <w:szCs w:val="32"/>
        </w:rPr>
        <w:t xml:space="preserve">　指导性技术文件的复审程序,按照《国家标准管理办法》的规定。指导性技术文件发布后3年内必须复审,以决定是否继续有效、转化为国家标准或撤销。</w:t>
      </w:r>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指导性技术文件转化为国家标准,应当在国家标准的前言中予以说明。</w:t>
      </w:r>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lastRenderedPageBreak/>
        <w:t>第十一条</w:t>
      </w:r>
      <w:r>
        <w:rPr>
          <w:rFonts w:ascii="仿宋" w:eastAsia="仿宋" w:hAnsi="仿宋" w:hint="eastAsia"/>
          <w:color w:val="333333"/>
          <w:sz w:val="32"/>
          <w:szCs w:val="32"/>
        </w:rPr>
        <w:t xml:space="preserve">　指导性技术文件属科技成果,按《标准化科学技术进步奖励办法》的规定,参与科技成果奖的评定。</w:t>
      </w:r>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第十二条</w:t>
      </w:r>
      <w:r>
        <w:rPr>
          <w:rFonts w:ascii="仿宋" w:eastAsia="仿宋" w:hAnsi="仿宋" w:hint="eastAsia"/>
          <w:color w:val="333333"/>
          <w:sz w:val="32"/>
          <w:szCs w:val="32"/>
        </w:rPr>
        <w:t xml:space="preserve">　本办法由国家质量技术监督局负责解释。</w:t>
      </w:r>
    </w:p>
    <w:p w:rsidR="007E34D1" w:rsidRDefault="007E34D1" w:rsidP="007E34D1">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第十三条</w:t>
      </w:r>
      <w:r>
        <w:rPr>
          <w:rFonts w:ascii="仿宋" w:eastAsia="仿宋" w:hAnsi="仿宋" w:hint="eastAsia"/>
          <w:color w:val="333333"/>
          <w:sz w:val="32"/>
          <w:szCs w:val="32"/>
        </w:rPr>
        <w:t xml:space="preserve">　本办法自发布之日起施行。</w:t>
      </w:r>
    </w:p>
    <w:p w:rsidR="00891FFC" w:rsidRPr="000E0EC4" w:rsidRDefault="00891FFC" w:rsidP="000E0EC4"/>
    <w:sectPr w:rsidR="00891FFC" w:rsidRPr="000E0EC4">
      <w:headerReference w:type="default" r:id="rId8"/>
      <w:footerReference w:type="default" r:id="rId9"/>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FB4" w:rsidRDefault="00F52FB4">
      <w:r>
        <w:separator/>
      </w:r>
    </w:p>
  </w:endnote>
  <w:endnote w:type="continuationSeparator" w:id="0">
    <w:p w:rsidR="00F52FB4" w:rsidRDefault="00F52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pBdr>
        <w:left w:val="none" w:sz="0" w:space="0" w:color="auto"/>
      </w:pBdr>
      <w:tabs>
        <w:tab w:val="left" w:pos="6522"/>
      </w:tabs>
      <w:ind w:leftChars="742" w:left="155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14:anchorId="138E8BC5" wp14:editId="5E94CCA5">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7E34D1">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7E34D1">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ab/>
    </w:r>
    <w:r>
      <w:rPr>
        <w:rFonts w:eastAsia="仿宋" w:hint="eastAsia"/>
        <w:sz w:val="32"/>
        <w:szCs w:val="48"/>
      </w:rPr>
      <w:tab/>
    </w:r>
    <w:r>
      <w:rPr>
        <w:rFonts w:eastAsia="仿宋" w:hint="eastAsia"/>
        <w:sz w:val="32"/>
        <w:szCs w:val="48"/>
      </w:rPr>
      <w:tab/>
      <w:t xml:space="preserve">  </w:t>
    </w:r>
  </w:p>
  <w:p w:rsidR="00891FFC" w:rsidRDefault="00D7266E">
    <w:pPr>
      <w:pStyle w:val="a6"/>
      <w:pBdr>
        <w:left w:val="none" w:sz="0" w:space="0" w:color="auto"/>
      </w:pBdr>
      <w:wordWrap w:val="0"/>
      <w:ind w:leftChars="742" w:left="1558" w:rightChars="26" w:right="55" w:firstLine="2"/>
      <w:jc w:val="right"/>
      <w:rPr>
        <w:rFonts w:eastAsia="仿宋"/>
        <w:color w:val="FAFAFA"/>
        <w:sz w:val="32"/>
        <w:szCs w:val="48"/>
      </w:rPr>
    </w:pPr>
    <w:r>
      <w:rPr>
        <w:noProof/>
        <w:color w:val="FAFAFA"/>
        <w:sz w:val="32"/>
      </w:rPr>
      <mc:AlternateContent>
        <mc:Choice Requires="wps">
          <w:drawing>
            <wp:anchor distT="0" distB="0" distL="114300" distR="114300" simplePos="0" relativeHeight="251660288" behindDoc="0" locked="0" layoutInCell="1" allowOverlap="1" wp14:anchorId="0D7BCC1B" wp14:editId="6151EC7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eastAsia="仿宋" w:hint="eastAsia"/>
        <w:color w:val="FAFAFA"/>
        <w:sz w:val="32"/>
        <w:szCs w:val="48"/>
      </w:rPr>
      <w:t>X</w:t>
    </w:r>
  </w:p>
  <w:p w:rsidR="00891FFC" w:rsidRDefault="002F2B45">
    <w:pPr>
      <w:pStyle w:val="a6"/>
      <w:pBdr>
        <w:left w:val="none" w:sz="0" w:space="0" w:color="auto"/>
      </w:pBdr>
      <w:tabs>
        <w:tab w:val="clear" w:pos="8306"/>
        <w:tab w:val="right" w:pos="1560"/>
      </w:tabs>
      <w:wordWrap w:val="0"/>
      <w:ind w:leftChars="742" w:left="1558" w:rightChars="229" w:right="481" w:firstLine="2"/>
      <w:jc w:val="right"/>
      <w:rPr>
        <w:rFonts w:ascii="宋体" w:eastAsia="宋体" w:hAnsi="宋体" w:cs="宋体"/>
        <w:b/>
        <w:bCs/>
        <w:color w:val="005192"/>
        <w:sz w:val="28"/>
        <w:szCs w:val="44"/>
      </w:rPr>
    </w:pPr>
    <w:r>
      <w:rPr>
        <w:rFonts w:ascii="宋体" w:eastAsia="宋体" w:hAnsi="宋体" w:cs="宋体" w:hint="eastAsia"/>
        <w:b/>
        <w:bCs/>
        <w:color w:val="005192"/>
        <w:sz w:val="28"/>
        <w:szCs w:val="44"/>
      </w:rPr>
      <w:t>国家市场监督管理</w:t>
    </w:r>
    <w:r w:rsidR="00D7266E">
      <w:rPr>
        <w:rFonts w:ascii="宋体" w:eastAsia="宋体" w:hAnsi="宋体" w:cs="宋体" w:hint="eastAsia"/>
        <w:b/>
        <w:bCs/>
        <w:color w:val="005192"/>
        <w:sz w:val="28"/>
        <w:szCs w:val="44"/>
      </w:rPr>
      <w:t>总局发布</w:t>
    </w:r>
  </w:p>
  <w:p w:rsidR="00891FFC" w:rsidRDefault="00891FFC">
    <w:pPr>
      <w:pStyle w:val="a6"/>
      <w:pBdr>
        <w:left w:val="none" w:sz="0" w:space="0" w:color="auto"/>
      </w:pBdr>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FB4" w:rsidRDefault="00F52FB4">
      <w:r>
        <w:separator/>
      </w:r>
    </w:p>
  </w:footnote>
  <w:footnote w:type="continuationSeparator" w:id="0">
    <w:p w:rsidR="00F52FB4" w:rsidRDefault="00F52F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14:anchorId="6179A5BE" wp14:editId="12D860CA">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rsidR="00891FFC" w:rsidRDefault="00D7266E">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1205D50A" wp14:editId="04CAA831">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国家市场监督管理总局</w:t>
    </w:r>
    <w:r w:rsidR="00446A16">
      <w:rPr>
        <w:rFonts w:ascii="宋体" w:eastAsia="宋体" w:hAnsi="宋体" w:cs="宋体" w:hint="eastAsia"/>
        <w:b/>
        <w:bCs/>
        <w:color w:val="005192"/>
        <w:sz w:val="32"/>
        <w:szCs w:val="32"/>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0A43"/>
    <w:rsid w:val="000E0EC4"/>
    <w:rsid w:val="000F7C3B"/>
    <w:rsid w:val="00172A27"/>
    <w:rsid w:val="00190F0F"/>
    <w:rsid w:val="00207744"/>
    <w:rsid w:val="002F2B45"/>
    <w:rsid w:val="00391DEC"/>
    <w:rsid w:val="003D0EA2"/>
    <w:rsid w:val="00414E80"/>
    <w:rsid w:val="00446A16"/>
    <w:rsid w:val="005C4BB6"/>
    <w:rsid w:val="006120F8"/>
    <w:rsid w:val="00637CAC"/>
    <w:rsid w:val="00750507"/>
    <w:rsid w:val="007E34D1"/>
    <w:rsid w:val="00840136"/>
    <w:rsid w:val="00891FFC"/>
    <w:rsid w:val="00915729"/>
    <w:rsid w:val="00960532"/>
    <w:rsid w:val="009D125D"/>
    <w:rsid w:val="00AC5533"/>
    <w:rsid w:val="00B7088B"/>
    <w:rsid w:val="00B900B7"/>
    <w:rsid w:val="00BA7A05"/>
    <w:rsid w:val="00C26E20"/>
    <w:rsid w:val="00D22E82"/>
    <w:rsid w:val="00D7266E"/>
    <w:rsid w:val="00E01234"/>
    <w:rsid w:val="00F1250C"/>
    <w:rsid w:val="00F52FB4"/>
    <w:rsid w:val="00FB339E"/>
    <w:rsid w:val="019E71BD"/>
    <w:rsid w:val="04B679C3"/>
    <w:rsid w:val="080F63D8"/>
    <w:rsid w:val="09341458"/>
    <w:rsid w:val="0B0912D7"/>
    <w:rsid w:val="152D2DCA"/>
    <w:rsid w:val="1DEC284C"/>
    <w:rsid w:val="1E6523AC"/>
    <w:rsid w:val="1F361A96"/>
    <w:rsid w:val="22440422"/>
    <w:rsid w:val="25117842"/>
    <w:rsid w:val="31A15F24"/>
    <w:rsid w:val="395347B5"/>
    <w:rsid w:val="39A232A0"/>
    <w:rsid w:val="39E745AA"/>
    <w:rsid w:val="3B5A6BBB"/>
    <w:rsid w:val="3EDA13A6"/>
    <w:rsid w:val="42F058B7"/>
    <w:rsid w:val="436109F6"/>
    <w:rsid w:val="441A38D4"/>
    <w:rsid w:val="49D91622"/>
    <w:rsid w:val="4BC77339"/>
    <w:rsid w:val="4C9236C5"/>
    <w:rsid w:val="505C172E"/>
    <w:rsid w:val="512207F0"/>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link w:val="1Char"/>
    <w:uiPriority w:val="9"/>
    <w:qFormat/>
    <w:rsid w:val="005C4BB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2F2B45"/>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2F2B45"/>
    <w:rPr>
      <w:b/>
      <w:bCs/>
    </w:rPr>
  </w:style>
  <w:style w:type="paragraph" w:styleId="ac">
    <w:name w:val="Plain Text"/>
    <w:basedOn w:val="a"/>
    <w:link w:val="Char0"/>
    <w:uiPriority w:val="99"/>
    <w:unhideWhenUsed/>
    <w:rsid w:val="003D0EA2"/>
    <w:pPr>
      <w:widowControl/>
      <w:spacing w:before="100" w:beforeAutospacing="1" w:after="100" w:afterAutospacing="1"/>
      <w:jc w:val="left"/>
    </w:pPr>
    <w:rPr>
      <w:rFonts w:ascii="宋体" w:eastAsia="宋体" w:hAnsi="宋体" w:cs="宋体"/>
      <w:kern w:val="0"/>
      <w:sz w:val="24"/>
    </w:rPr>
  </w:style>
  <w:style w:type="character" w:customStyle="1" w:styleId="Char0">
    <w:name w:val="纯文本 Char"/>
    <w:basedOn w:val="a0"/>
    <w:link w:val="ac"/>
    <w:uiPriority w:val="99"/>
    <w:rsid w:val="003D0EA2"/>
    <w:rPr>
      <w:rFonts w:ascii="宋体" w:hAnsi="宋体" w:cs="宋体"/>
      <w:sz w:val="24"/>
      <w:szCs w:val="24"/>
    </w:rPr>
  </w:style>
  <w:style w:type="character" w:customStyle="1" w:styleId="1Char">
    <w:name w:val="标题 1 Char"/>
    <w:basedOn w:val="a0"/>
    <w:link w:val="1"/>
    <w:uiPriority w:val="9"/>
    <w:rsid w:val="005C4BB6"/>
    <w:rPr>
      <w:rFonts w:ascii="宋体" w:hAnsi="宋体" w:cs="宋体"/>
      <w:b/>
      <w:bCs/>
      <w:kern w:val="36"/>
      <w:sz w:val="48"/>
      <w:szCs w:val="48"/>
    </w:rPr>
  </w:style>
  <w:style w:type="paragraph" w:customStyle="1" w:styleId="p">
    <w:name w:val="p"/>
    <w:basedOn w:val="a"/>
    <w:rsid w:val="005C4BB6"/>
    <w:pPr>
      <w:widowControl/>
      <w:spacing w:before="100" w:beforeAutospacing="1" w:after="100" w:afterAutospacing="1"/>
      <w:jc w:val="left"/>
    </w:pPr>
    <w:rPr>
      <w:rFonts w:ascii="宋体" w:eastAsia="宋体" w:hAnsi="宋体" w:cs="宋体"/>
      <w:kern w:val="0"/>
      <w:sz w:val="24"/>
    </w:rPr>
  </w:style>
  <w:style w:type="paragraph" w:customStyle="1" w:styleId="gztitle">
    <w:name w:val="gztitle"/>
    <w:basedOn w:val="a"/>
    <w:rsid w:val="00446A16"/>
    <w:pPr>
      <w:widowControl/>
      <w:spacing w:before="100" w:beforeAutospacing="1" w:after="100" w:afterAutospacing="1"/>
      <w:jc w:val="left"/>
    </w:pPr>
    <w:rPr>
      <w:rFonts w:ascii="宋体" w:eastAsia="宋体" w:hAnsi="宋体" w:cs="宋体"/>
      <w:kern w:val="0"/>
      <w:sz w:val="24"/>
    </w:rPr>
  </w:style>
  <w:style w:type="paragraph" w:customStyle="1" w:styleId="gztz">
    <w:name w:val="gztz"/>
    <w:basedOn w:val="a"/>
    <w:rsid w:val="007E34D1"/>
    <w:pPr>
      <w:widowControl/>
      <w:spacing w:before="100" w:beforeAutospacing="1" w:after="100" w:afterAutospacing="1"/>
      <w:jc w:val="left"/>
    </w:pPr>
    <w:rPr>
      <w:rFonts w:ascii="宋体" w:eastAsia="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link w:val="1Char"/>
    <w:uiPriority w:val="9"/>
    <w:qFormat/>
    <w:rsid w:val="005C4BB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2F2B45"/>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2F2B45"/>
    <w:rPr>
      <w:b/>
      <w:bCs/>
    </w:rPr>
  </w:style>
  <w:style w:type="paragraph" w:styleId="ac">
    <w:name w:val="Plain Text"/>
    <w:basedOn w:val="a"/>
    <w:link w:val="Char0"/>
    <w:uiPriority w:val="99"/>
    <w:unhideWhenUsed/>
    <w:rsid w:val="003D0EA2"/>
    <w:pPr>
      <w:widowControl/>
      <w:spacing w:before="100" w:beforeAutospacing="1" w:after="100" w:afterAutospacing="1"/>
      <w:jc w:val="left"/>
    </w:pPr>
    <w:rPr>
      <w:rFonts w:ascii="宋体" w:eastAsia="宋体" w:hAnsi="宋体" w:cs="宋体"/>
      <w:kern w:val="0"/>
      <w:sz w:val="24"/>
    </w:rPr>
  </w:style>
  <w:style w:type="character" w:customStyle="1" w:styleId="Char0">
    <w:name w:val="纯文本 Char"/>
    <w:basedOn w:val="a0"/>
    <w:link w:val="ac"/>
    <w:uiPriority w:val="99"/>
    <w:rsid w:val="003D0EA2"/>
    <w:rPr>
      <w:rFonts w:ascii="宋体" w:hAnsi="宋体" w:cs="宋体"/>
      <w:sz w:val="24"/>
      <w:szCs w:val="24"/>
    </w:rPr>
  </w:style>
  <w:style w:type="character" w:customStyle="1" w:styleId="1Char">
    <w:name w:val="标题 1 Char"/>
    <w:basedOn w:val="a0"/>
    <w:link w:val="1"/>
    <w:uiPriority w:val="9"/>
    <w:rsid w:val="005C4BB6"/>
    <w:rPr>
      <w:rFonts w:ascii="宋体" w:hAnsi="宋体" w:cs="宋体"/>
      <w:b/>
      <w:bCs/>
      <w:kern w:val="36"/>
      <w:sz w:val="48"/>
      <w:szCs w:val="48"/>
    </w:rPr>
  </w:style>
  <w:style w:type="paragraph" w:customStyle="1" w:styleId="p">
    <w:name w:val="p"/>
    <w:basedOn w:val="a"/>
    <w:rsid w:val="005C4BB6"/>
    <w:pPr>
      <w:widowControl/>
      <w:spacing w:before="100" w:beforeAutospacing="1" w:after="100" w:afterAutospacing="1"/>
      <w:jc w:val="left"/>
    </w:pPr>
    <w:rPr>
      <w:rFonts w:ascii="宋体" w:eastAsia="宋体" w:hAnsi="宋体" w:cs="宋体"/>
      <w:kern w:val="0"/>
      <w:sz w:val="24"/>
    </w:rPr>
  </w:style>
  <w:style w:type="paragraph" w:customStyle="1" w:styleId="gztitle">
    <w:name w:val="gztitle"/>
    <w:basedOn w:val="a"/>
    <w:rsid w:val="00446A16"/>
    <w:pPr>
      <w:widowControl/>
      <w:spacing w:before="100" w:beforeAutospacing="1" w:after="100" w:afterAutospacing="1"/>
      <w:jc w:val="left"/>
    </w:pPr>
    <w:rPr>
      <w:rFonts w:ascii="宋体" w:eastAsia="宋体" w:hAnsi="宋体" w:cs="宋体"/>
      <w:kern w:val="0"/>
      <w:sz w:val="24"/>
    </w:rPr>
  </w:style>
  <w:style w:type="paragraph" w:customStyle="1" w:styleId="gztz">
    <w:name w:val="gztz"/>
    <w:basedOn w:val="a"/>
    <w:rsid w:val="007E34D1"/>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29354">
      <w:bodyDiv w:val="1"/>
      <w:marLeft w:val="0"/>
      <w:marRight w:val="0"/>
      <w:marTop w:val="0"/>
      <w:marBottom w:val="0"/>
      <w:divBdr>
        <w:top w:val="none" w:sz="0" w:space="0" w:color="auto"/>
        <w:left w:val="none" w:sz="0" w:space="0" w:color="auto"/>
        <w:bottom w:val="none" w:sz="0" w:space="0" w:color="auto"/>
        <w:right w:val="none" w:sz="0" w:space="0" w:color="auto"/>
      </w:divBdr>
    </w:div>
    <w:div w:id="191000084">
      <w:bodyDiv w:val="1"/>
      <w:marLeft w:val="0"/>
      <w:marRight w:val="0"/>
      <w:marTop w:val="0"/>
      <w:marBottom w:val="0"/>
      <w:divBdr>
        <w:top w:val="none" w:sz="0" w:space="0" w:color="auto"/>
        <w:left w:val="none" w:sz="0" w:space="0" w:color="auto"/>
        <w:bottom w:val="none" w:sz="0" w:space="0" w:color="auto"/>
        <w:right w:val="none" w:sz="0" w:space="0" w:color="auto"/>
      </w:divBdr>
    </w:div>
    <w:div w:id="688872862">
      <w:bodyDiv w:val="1"/>
      <w:marLeft w:val="0"/>
      <w:marRight w:val="0"/>
      <w:marTop w:val="0"/>
      <w:marBottom w:val="0"/>
      <w:divBdr>
        <w:top w:val="none" w:sz="0" w:space="0" w:color="auto"/>
        <w:left w:val="none" w:sz="0" w:space="0" w:color="auto"/>
        <w:bottom w:val="none" w:sz="0" w:space="0" w:color="auto"/>
        <w:right w:val="none" w:sz="0" w:space="0" w:color="auto"/>
      </w:divBdr>
    </w:div>
    <w:div w:id="843283358">
      <w:bodyDiv w:val="1"/>
      <w:marLeft w:val="0"/>
      <w:marRight w:val="0"/>
      <w:marTop w:val="0"/>
      <w:marBottom w:val="0"/>
      <w:divBdr>
        <w:top w:val="none" w:sz="0" w:space="0" w:color="auto"/>
        <w:left w:val="none" w:sz="0" w:space="0" w:color="auto"/>
        <w:bottom w:val="none" w:sz="0" w:space="0" w:color="auto"/>
        <w:right w:val="none" w:sz="0" w:space="0" w:color="auto"/>
      </w:divBdr>
    </w:div>
    <w:div w:id="1172379862">
      <w:bodyDiv w:val="1"/>
      <w:marLeft w:val="0"/>
      <w:marRight w:val="0"/>
      <w:marTop w:val="0"/>
      <w:marBottom w:val="0"/>
      <w:divBdr>
        <w:top w:val="none" w:sz="0" w:space="0" w:color="auto"/>
        <w:left w:val="none" w:sz="0" w:space="0" w:color="auto"/>
        <w:bottom w:val="none" w:sz="0" w:space="0" w:color="auto"/>
        <w:right w:val="none" w:sz="0" w:space="0" w:color="auto"/>
      </w:divBdr>
    </w:div>
    <w:div w:id="1205020806">
      <w:bodyDiv w:val="1"/>
      <w:marLeft w:val="0"/>
      <w:marRight w:val="0"/>
      <w:marTop w:val="0"/>
      <w:marBottom w:val="0"/>
      <w:divBdr>
        <w:top w:val="none" w:sz="0" w:space="0" w:color="auto"/>
        <w:left w:val="none" w:sz="0" w:space="0" w:color="auto"/>
        <w:bottom w:val="none" w:sz="0" w:space="0" w:color="auto"/>
        <w:right w:val="none" w:sz="0" w:space="0" w:color="auto"/>
      </w:divBdr>
    </w:div>
    <w:div w:id="1262254611">
      <w:bodyDiv w:val="1"/>
      <w:marLeft w:val="0"/>
      <w:marRight w:val="0"/>
      <w:marTop w:val="0"/>
      <w:marBottom w:val="0"/>
      <w:divBdr>
        <w:top w:val="none" w:sz="0" w:space="0" w:color="auto"/>
        <w:left w:val="none" w:sz="0" w:space="0" w:color="auto"/>
        <w:bottom w:val="none" w:sz="0" w:space="0" w:color="auto"/>
        <w:right w:val="none" w:sz="0" w:space="0" w:color="auto"/>
      </w:divBdr>
    </w:div>
    <w:div w:id="1805005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4</Pages>
  <Words>187</Words>
  <Characters>1066</Characters>
  <Application>Microsoft Office Word</Application>
  <DocSecurity>0</DocSecurity>
  <Lines>8</Lines>
  <Paragraphs>2</Paragraphs>
  <ScaleCrop>false</ScaleCrop>
  <Company>Home</Company>
  <LinksUpToDate>false</LinksUpToDate>
  <CharactersWithSpaces>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China</cp:lastModifiedBy>
  <cp:revision>32</cp:revision>
  <cp:lastPrinted>2021-10-26T03:30:00Z</cp:lastPrinted>
  <dcterms:created xsi:type="dcterms:W3CDTF">2021-09-09T02:41:00Z</dcterms:created>
  <dcterms:modified xsi:type="dcterms:W3CDTF">2023-08-10T06:24:00Z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48C61CB29D3F4D9384F5922CF0F7FFB4</vt:lpwstr>
  </property>
</Properties>
</file>