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FD4" w:rsidRDefault="00B36197">
      <w:pPr>
        <w:spacing w:line="580" w:lineRule="exact"/>
        <w:rPr>
          <w:rFonts w:ascii="黑体" w:eastAsia="黑体"/>
          <w:color w:val="000000"/>
          <w:sz w:val="32"/>
          <w:szCs w:val="32"/>
        </w:rPr>
      </w:pPr>
      <w:r>
        <w:rPr>
          <w:rFonts w:ascii="黑体" w:eastAsia="黑体" w:hAnsi="仿宋" w:hint="eastAsia"/>
          <w:color w:val="000000"/>
          <w:sz w:val="32"/>
          <w:szCs w:val="32"/>
        </w:rPr>
        <w:t>附件</w:t>
      </w:r>
      <w:r>
        <w:rPr>
          <w:rFonts w:ascii="黑体" w:eastAsia="黑体" w:hint="eastAsia"/>
          <w:color w:val="000000"/>
          <w:sz w:val="32"/>
          <w:szCs w:val="32"/>
        </w:rPr>
        <w:t>3</w:t>
      </w:r>
    </w:p>
    <w:p w:rsidR="00244FD4" w:rsidRDefault="00B36197">
      <w:pPr>
        <w:spacing w:line="580" w:lineRule="exact"/>
        <w:jc w:val="center"/>
        <w:rPr>
          <w:rFonts w:ascii="方正小标宋简体" w:eastAsia="方正小标宋简体"/>
          <w:color w:val="000000"/>
          <w:spacing w:val="-20"/>
          <w:sz w:val="44"/>
          <w:szCs w:val="44"/>
        </w:rPr>
      </w:pPr>
      <w:r>
        <w:rPr>
          <w:rFonts w:ascii="方正小标宋简体" w:eastAsia="方正小标宋简体" w:hint="eastAsia"/>
          <w:color w:val="000000"/>
          <w:spacing w:val="-20"/>
          <w:sz w:val="44"/>
          <w:szCs w:val="44"/>
        </w:rPr>
        <w:t>摩托车发动机</w:t>
      </w:r>
      <w:r>
        <w:rPr>
          <w:rFonts w:ascii="方正小标宋简体" w:eastAsia="方正小标宋简体" w:hint="eastAsia"/>
          <w:color w:val="000000"/>
          <w:spacing w:val="-20"/>
          <w:sz w:val="44"/>
          <w:szCs w:val="44"/>
        </w:rPr>
        <w:t>CCC</w:t>
      </w:r>
      <w:r>
        <w:rPr>
          <w:rFonts w:ascii="方正小标宋简体" w:eastAsia="方正小标宋简体" w:hint="eastAsia"/>
          <w:color w:val="000000"/>
          <w:spacing w:val="-20"/>
          <w:sz w:val="44"/>
          <w:szCs w:val="44"/>
        </w:rPr>
        <w:t>认证规则（</w:t>
      </w:r>
      <w:r>
        <w:rPr>
          <w:rFonts w:ascii="方正小标宋简体" w:eastAsia="方正小标宋简体" w:hint="eastAsia"/>
          <w:color w:val="000000"/>
          <w:spacing w:val="-20"/>
          <w:sz w:val="44"/>
          <w:szCs w:val="44"/>
        </w:rPr>
        <w:t>CNCA-C11-03:2014</w:t>
      </w:r>
      <w:r>
        <w:rPr>
          <w:rFonts w:ascii="方正小标宋简体" w:eastAsia="方正小标宋简体" w:hint="eastAsia"/>
          <w:color w:val="000000"/>
          <w:spacing w:val="-20"/>
          <w:sz w:val="44"/>
          <w:szCs w:val="44"/>
        </w:rPr>
        <w:t>）调整内容</w:t>
      </w:r>
    </w:p>
    <w:p w:rsidR="00244FD4" w:rsidRDefault="00244FD4">
      <w:pPr>
        <w:spacing w:line="580" w:lineRule="exact"/>
        <w:jc w:val="center"/>
        <w:rPr>
          <w:rFonts w:ascii="方正小标宋简体" w:eastAsia="方正小标宋简体" w:hAnsi="仿宋" w:cs="宋体"/>
          <w:color w:val="000000"/>
          <w:kern w:val="0"/>
          <w:sz w:val="44"/>
          <w:szCs w:val="44"/>
        </w:rPr>
      </w:pPr>
    </w:p>
    <w:p w:rsidR="00244FD4" w:rsidRDefault="00B36197">
      <w:pPr>
        <w:spacing w:line="580" w:lineRule="exact"/>
        <w:ind w:firstLineChars="200" w:firstLine="640"/>
        <w:rPr>
          <w:rFonts w:ascii="黑体" w:eastAsia="黑体"/>
          <w:color w:val="000000"/>
          <w:sz w:val="32"/>
          <w:szCs w:val="32"/>
        </w:rPr>
      </w:pPr>
      <w:r>
        <w:rPr>
          <w:rFonts w:ascii="黑体" w:eastAsia="黑体" w:hint="eastAsia"/>
          <w:color w:val="000000"/>
          <w:sz w:val="32"/>
          <w:szCs w:val="32"/>
        </w:rPr>
        <w:t>一、认证模式</w:t>
      </w:r>
    </w:p>
    <w:p w:rsidR="00244FD4" w:rsidRDefault="00B36197">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摩托车发动机生产企业质量保证能力和产品一致性检查按照生产一致性审查方式进行；</w:t>
      </w:r>
    </w:p>
    <w:p w:rsidR="00244FD4" w:rsidRDefault="00B36197">
      <w:pPr>
        <w:spacing w:line="580" w:lineRule="exact"/>
        <w:ind w:firstLineChars="200" w:firstLine="640"/>
        <w:rPr>
          <w:rFonts w:ascii="方正仿宋简体" w:eastAsia="方正仿宋简体" w:hAnsi="仿宋" w:cs="宋体"/>
          <w:color w:val="000000"/>
          <w:kern w:val="0"/>
          <w:sz w:val="32"/>
          <w:szCs w:val="32"/>
        </w:rPr>
      </w:pPr>
      <w:r>
        <w:rPr>
          <w:rFonts w:ascii="方正仿宋简体" w:eastAsia="方正仿宋简体" w:hint="eastAsia"/>
          <w:color w:val="000000"/>
          <w:sz w:val="32"/>
          <w:szCs w:val="32"/>
        </w:rPr>
        <w:t>单机认证：</w:t>
      </w:r>
      <w:r>
        <w:rPr>
          <w:rFonts w:ascii="方正仿宋简体" w:eastAsia="方正仿宋简体" w:hint="eastAsia"/>
          <w:color w:val="000000"/>
          <w:sz w:val="32"/>
          <w:szCs w:val="32"/>
        </w:rPr>
        <w:t>100%</w:t>
      </w:r>
      <w:r>
        <w:rPr>
          <w:rFonts w:ascii="方正仿宋简体" w:eastAsia="方正仿宋简体" w:hint="eastAsia"/>
          <w:color w:val="000000"/>
          <w:sz w:val="32"/>
          <w:szCs w:val="32"/>
        </w:rPr>
        <w:t>检验。适用于因特殊用途或因特殊原因①而未获得强制性产品认证的小批量用于生产和生活消费的进口产品。由认证机构根据国家相关政策和规定制定相应的实施细则。</w:t>
      </w:r>
    </w:p>
    <w:p w:rsidR="00244FD4" w:rsidRDefault="00B36197">
      <w:pPr>
        <w:spacing w:line="580" w:lineRule="exact"/>
        <w:ind w:firstLineChars="200" w:firstLine="640"/>
        <w:rPr>
          <w:rFonts w:ascii="方正仿宋简体" w:eastAsia="方正仿宋简体" w:hAnsi="仿宋" w:cs="宋体"/>
          <w:color w:val="000000"/>
          <w:kern w:val="0"/>
          <w:sz w:val="32"/>
          <w:szCs w:val="32"/>
        </w:rPr>
      </w:pPr>
      <w:r>
        <w:rPr>
          <w:rFonts w:ascii="方正仿宋简体" w:eastAsia="方正仿宋简体" w:hAnsi="仿宋" w:cs="宋体" w:hint="eastAsia"/>
          <w:color w:val="000000"/>
          <w:kern w:val="0"/>
          <w:sz w:val="32"/>
          <w:szCs w:val="32"/>
        </w:rPr>
        <w:t>注：①特殊用途或因特殊原因的适用范围为反恐安全、抢险救灾、应急指挥、体育竞技、道路试验、国家重大生产建设项目和最终用户使用</w:t>
      </w:r>
      <w:r>
        <w:rPr>
          <w:rFonts w:ascii="方正仿宋简体" w:eastAsia="方正仿宋简体" w:hAnsi="仿宋" w:cs="宋体" w:hint="eastAsia"/>
          <w:color w:val="000000"/>
          <w:kern w:val="0"/>
          <w:sz w:val="32"/>
          <w:szCs w:val="32"/>
        </w:rPr>
        <w:t>(</w:t>
      </w:r>
      <w:r>
        <w:rPr>
          <w:rFonts w:ascii="方正仿宋简体" w:eastAsia="方正仿宋简体" w:hAnsi="仿宋" w:cs="宋体" w:hint="eastAsia"/>
          <w:color w:val="000000"/>
          <w:kern w:val="0"/>
          <w:sz w:val="32"/>
          <w:szCs w:val="32"/>
        </w:rPr>
        <w:t>商务部门进口许可证上列明的进口目的或使用用途须为单位或个人自用</w:t>
      </w:r>
      <w:r>
        <w:rPr>
          <w:rFonts w:ascii="方正仿宋简体" w:eastAsia="方正仿宋简体" w:hAnsi="仿宋" w:cs="宋体" w:hint="eastAsia"/>
          <w:color w:val="000000"/>
          <w:kern w:val="0"/>
          <w:sz w:val="32"/>
          <w:szCs w:val="32"/>
        </w:rPr>
        <w:t>)</w:t>
      </w:r>
      <w:r>
        <w:rPr>
          <w:rFonts w:ascii="方正仿宋简体" w:eastAsia="方正仿宋简体" w:hAnsi="仿宋" w:cs="宋体" w:hint="eastAsia"/>
          <w:color w:val="000000"/>
          <w:kern w:val="0"/>
          <w:sz w:val="32"/>
          <w:szCs w:val="32"/>
        </w:rPr>
        <w:t>。</w:t>
      </w:r>
    </w:p>
    <w:p w:rsidR="00244FD4" w:rsidRDefault="00B36197">
      <w:pPr>
        <w:spacing w:line="580" w:lineRule="exact"/>
        <w:ind w:firstLineChars="200" w:firstLine="640"/>
        <w:rPr>
          <w:rFonts w:ascii="黑体" w:eastAsia="黑体"/>
          <w:color w:val="000000"/>
          <w:sz w:val="32"/>
          <w:szCs w:val="32"/>
        </w:rPr>
      </w:pPr>
      <w:r>
        <w:rPr>
          <w:rFonts w:ascii="黑体" w:eastAsia="黑体" w:hint="eastAsia"/>
          <w:color w:val="000000"/>
          <w:sz w:val="32"/>
          <w:szCs w:val="32"/>
        </w:rPr>
        <w:t>二、认证单元划分</w:t>
      </w:r>
    </w:p>
    <w:p w:rsidR="00244FD4" w:rsidRDefault="00B36197">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增加：采用单机认证模式申请的产品不进行单元划分，以型号和发动机编号为单位颁发证书</w:t>
      </w:r>
      <w:r>
        <w:rPr>
          <w:rFonts w:ascii="方正仿宋简体" w:eastAsia="方正仿宋简体" w:hint="eastAsia"/>
          <w:color w:val="000000"/>
          <w:sz w:val="32"/>
          <w:szCs w:val="32"/>
        </w:rPr>
        <w:t>,</w:t>
      </w:r>
      <w:r>
        <w:rPr>
          <w:rFonts w:ascii="方正仿宋简体" w:eastAsia="方正仿宋简体" w:hint="eastAsia"/>
          <w:color w:val="000000"/>
          <w:sz w:val="32"/>
          <w:szCs w:val="32"/>
        </w:rPr>
        <w:t>一机一证。</w:t>
      </w:r>
    </w:p>
    <w:p w:rsidR="00244FD4" w:rsidRDefault="00B36197">
      <w:pPr>
        <w:spacing w:line="580" w:lineRule="exact"/>
        <w:ind w:firstLineChars="200" w:firstLine="640"/>
        <w:rPr>
          <w:rFonts w:ascii="黑体" w:eastAsia="黑体"/>
          <w:color w:val="000000"/>
          <w:sz w:val="32"/>
          <w:szCs w:val="32"/>
        </w:rPr>
      </w:pPr>
      <w:r>
        <w:rPr>
          <w:rFonts w:ascii="黑体" w:eastAsia="黑体" w:hint="eastAsia"/>
          <w:color w:val="000000"/>
          <w:sz w:val="32"/>
          <w:szCs w:val="32"/>
        </w:rPr>
        <w:t>三、型式试验项目及要求</w:t>
      </w:r>
    </w:p>
    <w:p w:rsidR="00244FD4" w:rsidRDefault="00B36197">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增加：摩托车发动机单机</w:t>
      </w:r>
      <w:r>
        <w:rPr>
          <w:rFonts w:ascii="方正仿宋简体" w:eastAsia="方正仿宋简体" w:hint="eastAsia"/>
          <w:color w:val="000000"/>
          <w:sz w:val="32"/>
          <w:szCs w:val="32"/>
        </w:rPr>
        <w:t>CCC</w:t>
      </w:r>
      <w:r>
        <w:rPr>
          <w:rFonts w:ascii="方正仿宋简体" w:eastAsia="方正仿宋简体" w:hint="eastAsia"/>
          <w:color w:val="000000"/>
          <w:sz w:val="32"/>
          <w:szCs w:val="32"/>
        </w:rPr>
        <w:t>认证检测项目</w:t>
      </w:r>
    </w:p>
    <w:p w:rsidR="00244FD4" w:rsidRDefault="00244FD4">
      <w:pPr>
        <w:rPr>
          <w:color w:val="000000"/>
        </w:rPr>
        <w:sectPr w:rsidR="00244FD4">
          <w:pgSz w:w="11906" w:h="16838"/>
          <w:pgMar w:top="1440" w:right="1800" w:bottom="1440" w:left="1800" w:header="851" w:footer="992" w:gutter="0"/>
          <w:cols w:space="720"/>
          <w:docGrid w:type="lines" w:linePitch="312"/>
        </w:sectPr>
      </w:pPr>
    </w:p>
    <w:p w:rsidR="00244FD4" w:rsidRDefault="00B36197">
      <w:pPr>
        <w:spacing w:line="5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摩托车发动机单机</w:t>
      </w:r>
      <w:r>
        <w:rPr>
          <w:rFonts w:ascii="方正小标宋简体" w:eastAsia="方正小标宋简体" w:hint="eastAsia"/>
          <w:color w:val="000000"/>
          <w:sz w:val="44"/>
          <w:szCs w:val="44"/>
        </w:rPr>
        <w:t>CCC</w:t>
      </w:r>
      <w:r>
        <w:rPr>
          <w:rFonts w:ascii="方正小标宋简体" w:eastAsia="方正小标宋简体" w:hint="eastAsia"/>
          <w:color w:val="000000"/>
          <w:sz w:val="44"/>
          <w:szCs w:val="44"/>
        </w:rPr>
        <w:t>认证检测项目</w:t>
      </w:r>
    </w:p>
    <w:p w:rsidR="00244FD4" w:rsidRDefault="00244FD4">
      <w:pPr>
        <w:spacing w:line="580" w:lineRule="exact"/>
        <w:jc w:val="center"/>
        <w:rPr>
          <w:rFonts w:ascii="方正小标宋简体" w:eastAsia="方正小标宋简体"/>
          <w:color w:val="000000"/>
          <w:sz w:val="44"/>
          <w:szCs w:val="44"/>
        </w:rPr>
      </w:pPr>
    </w:p>
    <w:tbl>
      <w:tblPr>
        <w:tblpPr w:leftFromText="180" w:rightFromText="180" w:vertAnchor="text" w:tblpY="1"/>
        <w:tblOverlap w:val="never"/>
        <w:tblW w:w="495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17"/>
        <w:gridCol w:w="2305"/>
        <w:gridCol w:w="1125"/>
        <w:gridCol w:w="490"/>
        <w:gridCol w:w="498"/>
        <w:gridCol w:w="493"/>
        <w:gridCol w:w="482"/>
        <w:gridCol w:w="498"/>
        <w:gridCol w:w="2599"/>
      </w:tblGrid>
      <w:tr w:rsidR="00244FD4">
        <w:trPr>
          <w:cantSplit/>
          <w:trHeight w:val="454"/>
        </w:trPr>
        <w:tc>
          <w:tcPr>
            <w:tcW w:w="237" w:type="pct"/>
            <w:vMerge w:val="restart"/>
            <w:vAlign w:val="center"/>
          </w:tcPr>
          <w:p w:rsidR="00244FD4" w:rsidRDefault="00B36197">
            <w:pPr>
              <w:widowControl/>
              <w:jc w:val="center"/>
              <w:rPr>
                <w:rFonts w:ascii="黑体" w:eastAsia="黑体" w:hAnsi="宋体" w:cs="宋体"/>
                <w:bCs/>
                <w:color w:val="000000"/>
                <w:kern w:val="0"/>
                <w:sz w:val="18"/>
                <w:szCs w:val="18"/>
              </w:rPr>
            </w:pPr>
            <w:r>
              <w:rPr>
                <w:rFonts w:ascii="黑体" w:eastAsia="黑体" w:hAnsi="宋体" w:cs="宋体" w:hint="eastAsia"/>
                <w:bCs/>
                <w:color w:val="000000"/>
                <w:kern w:val="0"/>
                <w:sz w:val="18"/>
                <w:szCs w:val="18"/>
              </w:rPr>
              <w:t>序号</w:t>
            </w:r>
          </w:p>
        </w:tc>
        <w:tc>
          <w:tcPr>
            <w:tcW w:w="1297" w:type="pct"/>
            <w:vMerge w:val="restart"/>
            <w:vAlign w:val="center"/>
          </w:tcPr>
          <w:p w:rsidR="00244FD4" w:rsidRDefault="00B36197">
            <w:pPr>
              <w:widowControl/>
              <w:jc w:val="center"/>
              <w:rPr>
                <w:rFonts w:ascii="黑体" w:eastAsia="黑体" w:hAnsi="宋体" w:cs="宋体"/>
                <w:bCs/>
                <w:color w:val="000000"/>
                <w:kern w:val="0"/>
                <w:sz w:val="18"/>
                <w:szCs w:val="18"/>
              </w:rPr>
            </w:pPr>
            <w:r>
              <w:rPr>
                <w:rFonts w:ascii="黑体" w:eastAsia="黑体" w:hAnsi="宋体" w:cs="宋体" w:hint="eastAsia"/>
                <w:bCs/>
                <w:color w:val="000000"/>
                <w:kern w:val="0"/>
                <w:sz w:val="18"/>
                <w:szCs w:val="18"/>
              </w:rPr>
              <w:t>检验项目</w:t>
            </w:r>
            <w:r>
              <w:rPr>
                <w:rFonts w:ascii="黑体" w:eastAsia="黑体" w:hAnsi="宋体" w:cs="宋体" w:hint="eastAsia"/>
                <w:bCs/>
                <w:color w:val="000000"/>
                <w:kern w:val="0"/>
                <w:sz w:val="18"/>
                <w:szCs w:val="18"/>
              </w:rPr>
              <w:t xml:space="preserve">               </w:t>
            </w:r>
          </w:p>
        </w:tc>
        <w:tc>
          <w:tcPr>
            <w:tcW w:w="611" w:type="pct"/>
            <w:vMerge w:val="restart"/>
            <w:vAlign w:val="center"/>
          </w:tcPr>
          <w:p w:rsidR="00244FD4" w:rsidRDefault="00B36197">
            <w:pPr>
              <w:widowControl/>
              <w:jc w:val="center"/>
              <w:rPr>
                <w:rFonts w:ascii="黑体" w:eastAsia="黑体" w:hAnsi="宋体" w:cs="宋体"/>
                <w:bCs/>
                <w:color w:val="000000"/>
                <w:kern w:val="0"/>
                <w:sz w:val="18"/>
                <w:szCs w:val="18"/>
              </w:rPr>
            </w:pPr>
            <w:r>
              <w:rPr>
                <w:rFonts w:ascii="黑体" w:eastAsia="黑体" w:hAnsi="宋体" w:cs="宋体" w:hint="eastAsia"/>
                <w:bCs/>
                <w:color w:val="000000"/>
                <w:kern w:val="0"/>
                <w:sz w:val="18"/>
                <w:szCs w:val="18"/>
              </w:rPr>
              <w:t>检验依据</w:t>
            </w:r>
          </w:p>
        </w:tc>
        <w:tc>
          <w:tcPr>
            <w:tcW w:w="1394" w:type="pct"/>
            <w:gridSpan w:val="5"/>
            <w:vAlign w:val="center"/>
          </w:tcPr>
          <w:p w:rsidR="00244FD4" w:rsidRDefault="00B36197">
            <w:pPr>
              <w:ind w:leftChars="50" w:left="105" w:rightChars="50" w:right="105"/>
              <w:jc w:val="center"/>
              <w:rPr>
                <w:rFonts w:ascii="黑体" w:eastAsia="黑体" w:hAnsi="宋体"/>
                <w:color w:val="000000"/>
                <w:sz w:val="18"/>
                <w:szCs w:val="18"/>
              </w:rPr>
            </w:pPr>
            <w:r>
              <w:rPr>
                <w:rFonts w:ascii="黑体" w:eastAsia="黑体" w:hAnsi="宋体" w:hint="eastAsia"/>
                <w:color w:val="000000"/>
                <w:sz w:val="18"/>
                <w:szCs w:val="18"/>
              </w:rPr>
              <w:t>适用范围</w:t>
            </w:r>
          </w:p>
        </w:tc>
        <w:tc>
          <w:tcPr>
            <w:tcW w:w="1461" w:type="pct"/>
            <w:vMerge w:val="restart"/>
            <w:vAlign w:val="center"/>
          </w:tcPr>
          <w:p w:rsidR="00244FD4" w:rsidRDefault="00B36197">
            <w:pPr>
              <w:ind w:leftChars="50" w:left="105" w:rightChars="50" w:right="105"/>
              <w:jc w:val="center"/>
              <w:rPr>
                <w:rFonts w:ascii="黑体" w:eastAsia="黑体" w:hAnsi="宋体"/>
                <w:color w:val="000000"/>
                <w:sz w:val="18"/>
                <w:szCs w:val="18"/>
              </w:rPr>
            </w:pPr>
            <w:r>
              <w:rPr>
                <w:rFonts w:ascii="黑体" w:eastAsia="黑体" w:hAnsi="宋体" w:hint="eastAsia"/>
                <w:color w:val="000000"/>
                <w:sz w:val="18"/>
                <w:szCs w:val="18"/>
              </w:rPr>
              <w:t>说明</w:t>
            </w:r>
          </w:p>
        </w:tc>
      </w:tr>
      <w:tr w:rsidR="00244FD4">
        <w:trPr>
          <w:cantSplit/>
          <w:trHeight w:val="454"/>
        </w:trPr>
        <w:tc>
          <w:tcPr>
            <w:tcW w:w="237" w:type="pct"/>
            <w:vMerge/>
            <w:vAlign w:val="center"/>
          </w:tcPr>
          <w:p w:rsidR="00244FD4" w:rsidRDefault="00244FD4">
            <w:pPr>
              <w:widowControl/>
              <w:jc w:val="center"/>
              <w:rPr>
                <w:rFonts w:ascii="宋体" w:hAnsi="宋体" w:cs="宋体"/>
                <w:b/>
                <w:bCs/>
                <w:color w:val="000000"/>
                <w:kern w:val="0"/>
                <w:sz w:val="18"/>
                <w:szCs w:val="18"/>
              </w:rPr>
            </w:pPr>
          </w:p>
        </w:tc>
        <w:tc>
          <w:tcPr>
            <w:tcW w:w="1297" w:type="pct"/>
            <w:vMerge/>
            <w:vAlign w:val="center"/>
          </w:tcPr>
          <w:p w:rsidR="00244FD4" w:rsidRDefault="00244FD4">
            <w:pPr>
              <w:widowControl/>
              <w:jc w:val="center"/>
              <w:rPr>
                <w:rFonts w:ascii="宋体" w:hAnsi="宋体" w:cs="宋体"/>
                <w:b/>
                <w:bCs/>
                <w:color w:val="000000"/>
                <w:kern w:val="0"/>
                <w:sz w:val="18"/>
                <w:szCs w:val="18"/>
              </w:rPr>
            </w:pPr>
          </w:p>
        </w:tc>
        <w:tc>
          <w:tcPr>
            <w:tcW w:w="611" w:type="pct"/>
            <w:vMerge/>
            <w:vAlign w:val="center"/>
          </w:tcPr>
          <w:p w:rsidR="00244FD4" w:rsidRDefault="00244FD4">
            <w:pPr>
              <w:widowControl/>
              <w:jc w:val="center"/>
              <w:rPr>
                <w:rFonts w:ascii="宋体" w:hAnsi="宋体" w:cs="宋体"/>
                <w:b/>
                <w:bCs/>
                <w:color w:val="000000"/>
                <w:kern w:val="0"/>
                <w:sz w:val="18"/>
                <w:szCs w:val="18"/>
              </w:rPr>
            </w:pPr>
          </w:p>
        </w:tc>
        <w:tc>
          <w:tcPr>
            <w:tcW w:w="278" w:type="pct"/>
            <w:vAlign w:val="center"/>
          </w:tcPr>
          <w:p w:rsidR="00244FD4" w:rsidRDefault="00B36197">
            <w:pPr>
              <w:ind w:leftChars="50" w:left="105" w:rightChars="50" w:right="105"/>
              <w:jc w:val="center"/>
              <w:rPr>
                <w:rFonts w:ascii="黑体" w:eastAsia="黑体" w:hAnsi="宋体"/>
                <w:color w:val="000000"/>
                <w:sz w:val="18"/>
                <w:szCs w:val="18"/>
              </w:rPr>
            </w:pPr>
            <w:r>
              <w:rPr>
                <w:rFonts w:ascii="黑体" w:eastAsia="黑体" w:hAnsi="宋体" w:hint="eastAsia"/>
                <w:color w:val="000000"/>
                <w:sz w:val="18"/>
                <w:szCs w:val="18"/>
              </w:rPr>
              <w:t>L1</w:t>
            </w:r>
          </w:p>
        </w:tc>
        <w:tc>
          <w:tcPr>
            <w:tcW w:w="282" w:type="pct"/>
            <w:vAlign w:val="center"/>
          </w:tcPr>
          <w:p w:rsidR="00244FD4" w:rsidRDefault="00B36197">
            <w:pPr>
              <w:ind w:leftChars="50" w:left="105" w:rightChars="50" w:right="105"/>
              <w:jc w:val="center"/>
              <w:rPr>
                <w:rFonts w:ascii="黑体" w:eastAsia="黑体" w:hAnsi="宋体"/>
                <w:color w:val="000000"/>
                <w:sz w:val="18"/>
                <w:szCs w:val="18"/>
              </w:rPr>
            </w:pPr>
            <w:r>
              <w:rPr>
                <w:rFonts w:ascii="黑体" w:eastAsia="黑体" w:hAnsi="宋体" w:hint="eastAsia"/>
                <w:color w:val="000000"/>
                <w:sz w:val="18"/>
                <w:szCs w:val="18"/>
              </w:rPr>
              <w:t>L2</w:t>
            </w:r>
          </w:p>
        </w:tc>
        <w:tc>
          <w:tcPr>
            <w:tcW w:w="279" w:type="pct"/>
            <w:vAlign w:val="center"/>
          </w:tcPr>
          <w:p w:rsidR="00244FD4" w:rsidRDefault="00B36197">
            <w:pPr>
              <w:ind w:leftChars="50" w:left="105" w:rightChars="50" w:right="105"/>
              <w:jc w:val="center"/>
              <w:rPr>
                <w:rFonts w:ascii="黑体" w:eastAsia="黑体" w:hAnsi="宋体"/>
                <w:color w:val="000000"/>
                <w:sz w:val="18"/>
                <w:szCs w:val="18"/>
              </w:rPr>
            </w:pPr>
            <w:r>
              <w:rPr>
                <w:rFonts w:ascii="黑体" w:eastAsia="黑体" w:hAnsi="宋体" w:hint="eastAsia"/>
                <w:color w:val="000000"/>
                <w:sz w:val="18"/>
                <w:szCs w:val="18"/>
              </w:rPr>
              <w:t>L3</w:t>
            </w:r>
          </w:p>
        </w:tc>
        <w:tc>
          <w:tcPr>
            <w:tcW w:w="273" w:type="pct"/>
            <w:vAlign w:val="center"/>
          </w:tcPr>
          <w:p w:rsidR="00244FD4" w:rsidRDefault="00B36197">
            <w:pPr>
              <w:ind w:leftChars="50" w:left="105" w:rightChars="50" w:right="105"/>
              <w:jc w:val="center"/>
              <w:rPr>
                <w:rFonts w:ascii="黑体" w:eastAsia="黑体" w:hAnsi="宋体"/>
                <w:color w:val="000000"/>
                <w:sz w:val="18"/>
                <w:szCs w:val="18"/>
              </w:rPr>
            </w:pPr>
            <w:r>
              <w:rPr>
                <w:rFonts w:ascii="黑体" w:eastAsia="黑体" w:hAnsi="宋体" w:hint="eastAsia"/>
                <w:color w:val="000000"/>
                <w:sz w:val="18"/>
                <w:szCs w:val="18"/>
              </w:rPr>
              <w:t>L4</w:t>
            </w:r>
          </w:p>
        </w:tc>
        <w:tc>
          <w:tcPr>
            <w:tcW w:w="282" w:type="pct"/>
            <w:vAlign w:val="center"/>
          </w:tcPr>
          <w:p w:rsidR="00244FD4" w:rsidRDefault="00B36197">
            <w:pPr>
              <w:ind w:leftChars="50" w:left="105" w:rightChars="50" w:right="105"/>
              <w:jc w:val="center"/>
              <w:rPr>
                <w:rFonts w:ascii="黑体" w:eastAsia="黑体" w:hAnsi="宋体"/>
                <w:color w:val="000000"/>
                <w:sz w:val="18"/>
                <w:szCs w:val="18"/>
              </w:rPr>
            </w:pPr>
            <w:r>
              <w:rPr>
                <w:rFonts w:ascii="黑体" w:eastAsia="黑体" w:hAnsi="宋体" w:hint="eastAsia"/>
                <w:color w:val="000000"/>
                <w:sz w:val="18"/>
                <w:szCs w:val="18"/>
              </w:rPr>
              <w:t>L5</w:t>
            </w:r>
          </w:p>
        </w:tc>
        <w:tc>
          <w:tcPr>
            <w:tcW w:w="1461" w:type="pct"/>
            <w:vMerge/>
            <w:vAlign w:val="center"/>
          </w:tcPr>
          <w:p w:rsidR="00244FD4" w:rsidRDefault="00244FD4">
            <w:pPr>
              <w:ind w:leftChars="50" w:left="105" w:rightChars="50" w:right="105"/>
              <w:rPr>
                <w:rFonts w:ascii="宋体" w:hAnsi="宋体"/>
                <w:color w:val="000000"/>
                <w:sz w:val="18"/>
                <w:szCs w:val="18"/>
              </w:rPr>
            </w:pPr>
          </w:p>
        </w:tc>
      </w:tr>
      <w:tr w:rsidR="00244FD4">
        <w:trPr>
          <w:cantSplit/>
          <w:trHeight w:val="454"/>
        </w:trPr>
        <w:tc>
          <w:tcPr>
            <w:tcW w:w="237" w:type="pct"/>
            <w:vAlign w:val="center"/>
          </w:tcPr>
          <w:p w:rsidR="00244FD4" w:rsidRDefault="00244FD4">
            <w:pPr>
              <w:numPr>
                <w:ilvl w:val="0"/>
                <w:numId w:val="2"/>
              </w:numPr>
              <w:ind w:right="57" w:firstLine="239"/>
              <w:jc w:val="center"/>
              <w:rPr>
                <w:rFonts w:ascii="宋体" w:hAnsi="宋体"/>
                <w:color w:val="000000"/>
                <w:sz w:val="18"/>
                <w:szCs w:val="18"/>
              </w:rPr>
            </w:pPr>
          </w:p>
        </w:tc>
        <w:tc>
          <w:tcPr>
            <w:tcW w:w="1297" w:type="pct"/>
            <w:vAlign w:val="center"/>
          </w:tcPr>
          <w:p w:rsidR="00244FD4" w:rsidRDefault="00B36197">
            <w:pPr>
              <w:ind w:leftChars="50" w:left="105" w:rightChars="50" w:right="105"/>
              <w:jc w:val="left"/>
              <w:rPr>
                <w:color w:val="000000"/>
                <w:sz w:val="18"/>
                <w:szCs w:val="18"/>
              </w:rPr>
            </w:pPr>
            <w:r>
              <w:rPr>
                <w:rFonts w:hint="eastAsia"/>
                <w:color w:val="000000"/>
                <w:sz w:val="18"/>
                <w:szCs w:val="18"/>
              </w:rPr>
              <w:t>标记</w:t>
            </w:r>
          </w:p>
        </w:tc>
        <w:tc>
          <w:tcPr>
            <w:tcW w:w="611" w:type="pct"/>
            <w:vAlign w:val="center"/>
          </w:tcPr>
          <w:p w:rsidR="00244FD4" w:rsidRDefault="00B36197">
            <w:pPr>
              <w:ind w:leftChars="50" w:left="105" w:rightChars="50" w:right="105"/>
              <w:jc w:val="left"/>
              <w:rPr>
                <w:rFonts w:ascii="宋体" w:hAnsi="宋体"/>
                <w:color w:val="000000"/>
                <w:sz w:val="18"/>
                <w:szCs w:val="18"/>
              </w:rPr>
            </w:pPr>
            <w:r>
              <w:rPr>
                <w:rFonts w:ascii="宋体" w:hAnsi="宋体"/>
                <w:color w:val="000000"/>
                <w:sz w:val="18"/>
                <w:szCs w:val="18"/>
              </w:rPr>
              <w:t>GB 7258-2012</w:t>
            </w:r>
          </w:p>
        </w:tc>
        <w:tc>
          <w:tcPr>
            <w:tcW w:w="278"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82"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79"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73"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82"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1461" w:type="pct"/>
            <w:vAlign w:val="center"/>
          </w:tcPr>
          <w:p w:rsidR="00244FD4" w:rsidRDefault="00244FD4">
            <w:pPr>
              <w:ind w:leftChars="50" w:left="105" w:rightChars="50" w:right="105"/>
              <w:rPr>
                <w:rFonts w:ascii="宋体" w:hAnsi="宋体"/>
                <w:color w:val="000000"/>
                <w:sz w:val="18"/>
                <w:szCs w:val="18"/>
              </w:rPr>
            </w:pPr>
          </w:p>
        </w:tc>
      </w:tr>
      <w:tr w:rsidR="00244FD4">
        <w:trPr>
          <w:cantSplit/>
          <w:trHeight w:val="454"/>
        </w:trPr>
        <w:tc>
          <w:tcPr>
            <w:tcW w:w="237" w:type="pct"/>
            <w:vAlign w:val="center"/>
          </w:tcPr>
          <w:p w:rsidR="00244FD4" w:rsidRDefault="00244FD4">
            <w:pPr>
              <w:numPr>
                <w:ilvl w:val="0"/>
                <w:numId w:val="2"/>
              </w:numPr>
              <w:ind w:right="57" w:firstLine="239"/>
              <w:jc w:val="center"/>
              <w:rPr>
                <w:rFonts w:ascii="宋体" w:hAnsi="宋体"/>
                <w:color w:val="000000"/>
                <w:sz w:val="18"/>
                <w:szCs w:val="18"/>
              </w:rPr>
            </w:pPr>
          </w:p>
        </w:tc>
        <w:tc>
          <w:tcPr>
            <w:tcW w:w="1297" w:type="pct"/>
            <w:vAlign w:val="center"/>
          </w:tcPr>
          <w:p w:rsidR="00244FD4" w:rsidRDefault="00B36197">
            <w:pPr>
              <w:ind w:leftChars="50" w:left="105" w:rightChars="50" w:right="105"/>
              <w:jc w:val="left"/>
              <w:rPr>
                <w:color w:val="000000"/>
                <w:sz w:val="18"/>
                <w:szCs w:val="18"/>
              </w:rPr>
            </w:pPr>
            <w:r>
              <w:rPr>
                <w:rFonts w:hint="eastAsia"/>
                <w:color w:val="000000"/>
                <w:sz w:val="18"/>
                <w:szCs w:val="18"/>
              </w:rPr>
              <w:t>起动性能</w:t>
            </w:r>
          </w:p>
        </w:tc>
        <w:tc>
          <w:tcPr>
            <w:tcW w:w="611" w:type="pct"/>
            <w:vAlign w:val="center"/>
          </w:tcPr>
          <w:p w:rsidR="00244FD4" w:rsidRDefault="00B36197">
            <w:pPr>
              <w:ind w:leftChars="50" w:left="105" w:rightChars="50" w:right="105"/>
              <w:jc w:val="left"/>
              <w:rPr>
                <w:rFonts w:ascii="宋体" w:hAnsi="宋体"/>
                <w:color w:val="000000"/>
                <w:sz w:val="18"/>
                <w:szCs w:val="18"/>
              </w:rPr>
            </w:pPr>
            <w:r>
              <w:rPr>
                <w:rFonts w:ascii="宋体" w:hAnsi="宋体"/>
                <w:color w:val="000000"/>
                <w:sz w:val="18"/>
                <w:szCs w:val="18"/>
              </w:rPr>
              <w:t>GB/T 5363-2008</w:t>
            </w:r>
          </w:p>
        </w:tc>
        <w:tc>
          <w:tcPr>
            <w:tcW w:w="278"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82"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79"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73"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82"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1461" w:type="pct"/>
            <w:vAlign w:val="center"/>
          </w:tcPr>
          <w:p w:rsidR="00244FD4" w:rsidRDefault="00244FD4">
            <w:pPr>
              <w:ind w:leftChars="50" w:left="105" w:rightChars="50" w:right="105"/>
              <w:rPr>
                <w:rFonts w:ascii="宋体" w:hAnsi="宋体"/>
                <w:color w:val="000000"/>
                <w:sz w:val="18"/>
                <w:szCs w:val="18"/>
              </w:rPr>
            </w:pPr>
          </w:p>
        </w:tc>
      </w:tr>
      <w:tr w:rsidR="00244FD4">
        <w:trPr>
          <w:cantSplit/>
          <w:trHeight w:val="454"/>
        </w:trPr>
        <w:tc>
          <w:tcPr>
            <w:tcW w:w="237" w:type="pct"/>
            <w:vAlign w:val="center"/>
          </w:tcPr>
          <w:p w:rsidR="00244FD4" w:rsidRDefault="00244FD4">
            <w:pPr>
              <w:numPr>
                <w:ilvl w:val="0"/>
                <w:numId w:val="2"/>
              </w:numPr>
              <w:ind w:right="57" w:firstLine="239"/>
              <w:jc w:val="center"/>
              <w:rPr>
                <w:rFonts w:ascii="宋体" w:hAnsi="宋体"/>
                <w:color w:val="000000"/>
                <w:sz w:val="18"/>
                <w:szCs w:val="18"/>
              </w:rPr>
            </w:pPr>
          </w:p>
        </w:tc>
        <w:tc>
          <w:tcPr>
            <w:tcW w:w="1297" w:type="pct"/>
            <w:vAlign w:val="center"/>
          </w:tcPr>
          <w:p w:rsidR="00244FD4" w:rsidRDefault="00B36197">
            <w:pPr>
              <w:ind w:leftChars="50" w:left="105" w:rightChars="50" w:right="105"/>
              <w:jc w:val="left"/>
              <w:rPr>
                <w:color w:val="000000"/>
                <w:sz w:val="18"/>
                <w:szCs w:val="18"/>
              </w:rPr>
            </w:pPr>
            <w:r>
              <w:rPr>
                <w:rFonts w:hint="eastAsia"/>
                <w:color w:val="000000"/>
                <w:sz w:val="18"/>
                <w:szCs w:val="18"/>
              </w:rPr>
              <w:t>怠速性能</w:t>
            </w:r>
          </w:p>
        </w:tc>
        <w:tc>
          <w:tcPr>
            <w:tcW w:w="611" w:type="pct"/>
            <w:vAlign w:val="center"/>
          </w:tcPr>
          <w:p w:rsidR="00244FD4" w:rsidRDefault="00B36197">
            <w:pPr>
              <w:ind w:leftChars="50" w:left="105" w:rightChars="50" w:right="105"/>
              <w:jc w:val="left"/>
              <w:rPr>
                <w:rFonts w:ascii="宋体" w:hAnsi="宋体"/>
                <w:color w:val="000000"/>
                <w:sz w:val="18"/>
                <w:szCs w:val="18"/>
              </w:rPr>
            </w:pPr>
            <w:r>
              <w:rPr>
                <w:rFonts w:ascii="宋体" w:hAnsi="宋体"/>
                <w:color w:val="000000"/>
                <w:sz w:val="18"/>
                <w:szCs w:val="18"/>
              </w:rPr>
              <w:t>GB/T 5363-2008</w:t>
            </w:r>
          </w:p>
        </w:tc>
        <w:tc>
          <w:tcPr>
            <w:tcW w:w="278"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82"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79"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73"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82"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1461" w:type="pct"/>
            <w:vAlign w:val="center"/>
          </w:tcPr>
          <w:p w:rsidR="00244FD4" w:rsidRDefault="00244FD4">
            <w:pPr>
              <w:ind w:leftChars="50" w:left="105" w:rightChars="50" w:right="105"/>
              <w:rPr>
                <w:rFonts w:ascii="宋体" w:hAnsi="宋体"/>
                <w:color w:val="000000"/>
                <w:sz w:val="18"/>
                <w:szCs w:val="18"/>
              </w:rPr>
            </w:pPr>
          </w:p>
        </w:tc>
      </w:tr>
      <w:tr w:rsidR="00244FD4">
        <w:trPr>
          <w:cantSplit/>
          <w:trHeight w:val="454"/>
        </w:trPr>
        <w:tc>
          <w:tcPr>
            <w:tcW w:w="237" w:type="pct"/>
            <w:vAlign w:val="center"/>
          </w:tcPr>
          <w:p w:rsidR="00244FD4" w:rsidRDefault="00244FD4">
            <w:pPr>
              <w:numPr>
                <w:ilvl w:val="0"/>
                <w:numId w:val="2"/>
              </w:numPr>
              <w:ind w:right="57" w:firstLine="239"/>
              <w:jc w:val="center"/>
              <w:rPr>
                <w:rFonts w:ascii="宋体" w:hAnsi="宋体"/>
                <w:color w:val="000000"/>
                <w:sz w:val="18"/>
                <w:szCs w:val="18"/>
              </w:rPr>
            </w:pPr>
          </w:p>
        </w:tc>
        <w:tc>
          <w:tcPr>
            <w:tcW w:w="1297" w:type="pct"/>
            <w:vAlign w:val="center"/>
          </w:tcPr>
          <w:p w:rsidR="00244FD4" w:rsidRDefault="00B36197">
            <w:pPr>
              <w:ind w:leftChars="50" w:left="105" w:rightChars="50" w:right="105"/>
              <w:jc w:val="left"/>
              <w:rPr>
                <w:color w:val="000000"/>
                <w:sz w:val="18"/>
                <w:szCs w:val="18"/>
              </w:rPr>
            </w:pPr>
            <w:r>
              <w:rPr>
                <w:rFonts w:hint="eastAsia"/>
                <w:color w:val="000000"/>
                <w:sz w:val="18"/>
                <w:szCs w:val="18"/>
              </w:rPr>
              <w:t>怠速污染物</w:t>
            </w:r>
          </w:p>
        </w:tc>
        <w:tc>
          <w:tcPr>
            <w:tcW w:w="611" w:type="pct"/>
            <w:vAlign w:val="center"/>
          </w:tcPr>
          <w:p w:rsidR="00244FD4" w:rsidRDefault="00B36197">
            <w:pPr>
              <w:ind w:leftChars="50" w:left="105" w:rightChars="50" w:right="105"/>
              <w:jc w:val="left"/>
              <w:rPr>
                <w:rFonts w:ascii="宋体" w:hAnsi="宋体"/>
                <w:color w:val="000000"/>
                <w:sz w:val="18"/>
                <w:szCs w:val="18"/>
              </w:rPr>
            </w:pPr>
            <w:r>
              <w:rPr>
                <w:rFonts w:ascii="宋体" w:hAnsi="宋体"/>
                <w:color w:val="000000"/>
                <w:sz w:val="18"/>
                <w:szCs w:val="18"/>
              </w:rPr>
              <w:t>GB 14621-2011</w:t>
            </w:r>
          </w:p>
        </w:tc>
        <w:tc>
          <w:tcPr>
            <w:tcW w:w="278"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82"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79"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73"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282"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color w:val="000000"/>
                <w:sz w:val="18"/>
                <w:szCs w:val="18"/>
              </w:rPr>
              <w:t>√</w:t>
            </w:r>
          </w:p>
        </w:tc>
        <w:tc>
          <w:tcPr>
            <w:tcW w:w="1461" w:type="pct"/>
            <w:vAlign w:val="center"/>
          </w:tcPr>
          <w:p w:rsidR="00244FD4" w:rsidRDefault="00244FD4">
            <w:pPr>
              <w:ind w:leftChars="50" w:left="105" w:rightChars="50" w:right="105"/>
              <w:rPr>
                <w:rFonts w:ascii="宋体" w:hAnsi="宋体"/>
                <w:color w:val="000000"/>
                <w:sz w:val="18"/>
                <w:szCs w:val="18"/>
              </w:rPr>
            </w:pPr>
          </w:p>
        </w:tc>
      </w:tr>
      <w:tr w:rsidR="00244FD4">
        <w:trPr>
          <w:cantSplit/>
          <w:trHeight w:val="454"/>
        </w:trPr>
        <w:tc>
          <w:tcPr>
            <w:tcW w:w="237" w:type="pct"/>
            <w:vAlign w:val="center"/>
          </w:tcPr>
          <w:p w:rsidR="00244FD4" w:rsidRDefault="00244FD4">
            <w:pPr>
              <w:numPr>
                <w:ilvl w:val="0"/>
                <w:numId w:val="2"/>
              </w:numPr>
              <w:ind w:right="57" w:firstLine="239"/>
              <w:jc w:val="center"/>
              <w:rPr>
                <w:rFonts w:ascii="宋体" w:hAnsi="宋体"/>
                <w:color w:val="000000"/>
                <w:sz w:val="18"/>
                <w:szCs w:val="18"/>
              </w:rPr>
            </w:pPr>
          </w:p>
        </w:tc>
        <w:tc>
          <w:tcPr>
            <w:tcW w:w="1297" w:type="pct"/>
            <w:vAlign w:val="center"/>
          </w:tcPr>
          <w:p w:rsidR="00244FD4" w:rsidRDefault="00B36197">
            <w:pPr>
              <w:ind w:leftChars="50" w:left="105" w:rightChars="50" w:right="105"/>
              <w:jc w:val="left"/>
              <w:rPr>
                <w:color w:val="000000"/>
                <w:sz w:val="18"/>
                <w:szCs w:val="18"/>
              </w:rPr>
            </w:pPr>
            <w:r>
              <w:rPr>
                <w:rFonts w:hint="eastAsia"/>
                <w:color w:val="000000"/>
                <w:sz w:val="18"/>
                <w:szCs w:val="18"/>
              </w:rPr>
              <w:t>发动机最大扭矩和最大净功率</w:t>
            </w:r>
          </w:p>
        </w:tc>
        <w:tc>
          <w:tcPr>
            <w:tcW w:w="611" w:type="pct"/>
            <w:vAlign w:val="center"/>
          </w:tcPr>
          <w:p w:rsidR="00244FD4" w:rsidRDefault="00B36197">
            <w:pPr>
              <w:ind w:leftChars="50" w:left="105" w:rightChars="50" w:right="105"/>
              <w:jc w:val="left"/>
              <w:rPr>
                <w:rFonts w:ascii="宋体" w:hAnsi="宋体"/>
                <w:color w:val="000000"/>
                <w:sz w:val="18"/>
                <w:szCs w:val="18"/>
              </w:rPr>
            </w:pPr>
            <w:r>
              <w:rPr>
                <w:rFonts w:ascii="宋体" w:hAnsi="宋体" w:hint="eastAsia"/>
                <w:color w:val="000000"/>
                <w:sz w:val="18"/>
                <w:szCs w:val="18"/>
              </w:rPr>
              <w:t>GB</w:t>
            </w:r>
            <w:r>
              <w:rPr>
                <w:rFonts w:ascii="宋体" w:hAnsi="宋体"/>
                <w:color w:val="000000"/>
                <w:sz w:val="18"/>
                <w:szCs w:val="18"/>
              </w:rPr>
              <w:t>/T</w:t>
            </w:r>
            <w:r>
              <w:rPr>
                <w:rFonts w:ascii="宋体" w:hAnsi="宋体" w:hint="eastAsia"/>
                <w:color w:val="000000"/>
                <w:sz w:val="18"/>
                <w:szCs w:val="18"/>
              </w:rPr>
              <w:t xml:space="preserve"> 20076-2006</w:t>
            </w:r>
          </w:p>
        </w:tc>
        <w:tc>
          <w:tcPr>
            <w:tcW w:w="278"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hint="eastAsia"/>
                <w:color w:val="000000"/>
                <w:sz w:val="18"/>
                <w:szCs w:val="18"/>
              </w:rPr>
              <w:t>-</w:t>
            </w:r>
          </w:p>
        </w:tc>
        <w:tc>
          <w:tcPr>
            <w:tcW w:w="282"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hint="eastAsia"/>
                <w:color w:val="000000"/>
                <w:sz w:val="18"/>
                <w:szCs w:val="18"/>
              </w:rPr>
              <w:t>-</w:t>
            </w:r>
          </w:p>
        </w:tc>
        <w:tc>
          <w:tcPr>
            <w:tcW w:w="279"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hint="eastAsia"/>
                <w:color w:val="000000"/>
                <w:sz w:val="18"/>
                <w:szCs w:val="18"/>
              </w:rPr>
              <w:t>-</w:t>
            </w:r>
          </w:p>
        </w:tc>
        <w:tc>
          <w:tcPr>
            <w:tcW w:w="273"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hint="eastAsia"/>
                <w:color w:val="000000"/>
                <w:sz w:val="18"/>
                <w:szCs w:val="18"/>
              </w:rPr>
              <w:t>-</w:t>
            </w:r>
          </w:p>
        </w:tc>
        <w:tc>
          <w:tcPr>
            <w:tcW w:w="282" w:type="pct"/>
            <w:vAlign w:val="center"/>
          </w:tcPr>
          <w:p w:rsidR="00244FD4" w:rsidRDefault="00B36197">
            <w:pPr>
              <w:ind w:leftChars="50" w:left="105" w:rightChars="50" w:right="105"/>
              <w:jc w:val="center"/>
              <w:rPr>
                <w:rFonts w:ascii="宋体" w:hAnsi="宋体"/>
                <w:color w:val="000000"/>
                <w:sz w:val="18"/>
                <w:szCs w:val="18"/>
              </w:rPr>
            </w:pPr>
            <w:r>
              <w:rPr>
                <w:rFonts w:ascii="宋体" w:hAnsi="宋体" w:hint="eastAsia"/>
                <w:color w:val="000000"/>
                <w:sz w:val="18"/>
                <w:szCs w:val="18"/>
              </w:rPr>
              <w:t>-</w:t>
            </w:r>
          </w:p>
        </w:tc>
        <w:tc>
          <w:tcPr>
            <w:tcW w:w="1461" w:type="pct"/>
            <w:vAlign w:val="center"/>
          </w:tcPr>
          <w:p w:rsidR="00244FD4" w:rsidRDefault="00244FD4">
            <w:pPr>
              <w:ind w:leftChars="50" w:left="105" w:rightChars="50" w:right="105"/>
              <w:rPr>
                <w:rFonts w:ascii="宋体" w:hAnsi="宋体"/>
                <w:color w:val="000000"/>
                <w:sz w:val="18"/>
                <w:szCs w:val="18"/>
              </w:rPr>
            </w:pPr>
          </w:p>
        </w:tc>
      </w:tr>
      <w:tr w:rsidR="00244FD4">
        <w:trPr>
          <w:cantSplit/>
          <w:trHeight w:val="454"/>
        </w:trPr>
        <w:tc>
          <w:tcPr>
            <w:tcW w:w="5000" w:type="pct"/>
            <w:gridSpan w:val="9"/>
            <w:vAlign w:val="center"/>
          </w:tcPr>
          <w:p w:rsidR="00244FD4" w:rsidRDefault="00B36197">
            <w:pPr>
              <w:widowControl/>
              <w:ind w:leftChars="50" w:left="105" w:rightChars="50" w:right="105"/>
              <w:rPr>
                <w:rFonts w:ascii="宋体" w:hAnsi="宋体"/>
                <w:color w:val="000000"/>
                <w:sz w:val="18"/>
                <w:szCs w:val="18"/>
              </w:rPr>
            </w:pPr>
            <w:r>
              <w:rPr>
                <w:rFonts w:ascii="宋体" w:hAnsi="宋体" w:cs="宋体" w:hint="eastAsia"/>
                <w:color w:val="000000"/>
                <w:kern w:val="0"/>
                <w:sz w:val="18"/>
                <w:szCs w:val="18"/>
              </w:rPr>
              <w:t>备注</w:t>
            </w:r>
            <w:r>
              <w:rPr>
                <w:rFonts w:ascii="宋体" w:hAnsi="宋体" w:cs="宋体" w:hint="eastAsia"/>
                <w:color w:val="000000"/>
                <w:kern w:val="0"/>
                <w:sz w:val="18"/>
                <w:szCs w:val="18"/>
              </w:rPr>
              <w:t>:</w:t>
            </w:r>
            <w:r>
              <w:rPr>
                <w:rFonts w:ascii="宋体" w:hAnsi="宋体" w:cs="宋体" w:hint="eastAsia"/>
                <w:color w:val="000000"/>
                <w:kern w:val="0"/>
                <w:sz w:val="18"/>
                <w:szCs w:val="18"/>
              </w:rPr>
              <w:t>试验针对完整发动机，包含所有保证发动机正常工作所需的空滤器、排气消声器、点火开关、起动开关、刹车开关、侧倾装置、供油控制系统、</w:t>
            </w:r>
            <w:r>
              <w:rPr>
                <w:rFonts w:ascii="宋体" w:hAnsi="宋体" w:cs="宋体" w:hint="eastAsia"/>
                <w:color w:val="000000"/>
                <w:kern w:val="0"/>
                <w:sz w:val="18"/>
                <w:szCs w:val="18"/>
              </w:rPr>
              <w:t>ECU</w:t>
            </w:r>
            <w:r>
              <w:rPr>
                <w:rFonts w:ascii="宋体" w:hAnsi="宋体" w:cs="宋体" w:hint="eastAsia"/>
                <w:color w:val="000000"/>
                <w:kern w:val="0"/>
                <w:sz w:val="18"/>
                <w:szCs w:val="18"/>
              </w:rPr>
              <w:t>以及全部线束和相关配件，必要时需要提供相关图纸。</w:t>
            </w:r>
          </w:p>
        </w:tc>
      </w:tr>
    </w:tbl>
    <w:p w:rsidR="00244FD4" w:rsidRDefault="00244FD4">
      <w:pPr>
        <w:jc w:val="center"/>
        <w:rPr>
          <w:color w:val="000000"/>
        </w:rPr>
      </w:pPr>
    </w:p>
    <w:p w:rsidR="00244FD4" w:rsidRDefault="00244FD4">
      <w:pPr>
        <w:rPr>
          <w:rFonts w:ascii="Times New Roman" w:hAnsi="Times New Roman"/>
          <w:color w:val="000000"/>
          <w:sz w:val="32"/>
          <w:szCs w:val="32"/>
        </w:rPr>
      </w:pPr>
    </w:p>
    <w:p w:rsidR="00244FD4" w:rsidRDefault="00244FD4">
      <w:pPr>
        <w:rPr>
          <w:rFonts w:ascii="Times New Roman" w:hAnsi="Times New Roman"/>
          <w:color w:val="000000"/>
          <w:sz w:val="32"/>
          <w:szCs w:val="32"/>
        </w:rPr>
      </w:pPr>
    </w:p>
    <w:p w:rsidR="00244FD4" w:rsidRDefault="00244FD4">
      <w:pPr>
        <w:rPr>
          <w:rFonts w:ascii="Times New Roman" w:hAnsi="Times New Roman"/>
          <w:color w:val="000000"/>
          <w:sz w:val="32"/>
          <w:szCs w:val="32"/>
        </w:rPr>
      </w:pPr>
    </w:p>
    <w:p w:rsidR="00244FD4" w:rsidRDefault="00244FD4">
      <w:pPr>
        <w:rPr>
          <w:rFonts w:ascii="Times New Roman" w:hAnsi="Times New Roman"/>
          <w:color w:val="000000"/>
          <w:sz w:val="32"/>
          <w:szCs w:val="32"/>
        </w:rPr>
      </w:pPr>
    </w:p>
    <w:p w:rsidR="00244FD4" w:rsidRDefault="00244FD4">
      <w:pPr>
        <w:rPr>
          <w:rFonts w:ascii="Times New Roman" w:hAnsi="Times New Roman"/>
          <w:color w:val="000000"/>
          <w:sz w:val="32"/>
          <w:szCs w:val="32"/>
        </w:rPr>
      </w:pPr>
    </w:p>
    <w:p w:rsidR="00244FD4" w:rsidRDefault="00244FD4">
      <w:pPr>
        <w:rPr>
          <w:rFonts w:ascii="Times New Roman" w:hAnsi="Times New Roman"/>
          <w:color w:val="000000"/>
          <w:sz w:val="32"/>
          <w:szCs w:val="32"/>
        </w:rPr>
      </w:pPr>
    </w:p>
    <w:p w:rsidR="00244FD4" w:rsidRDefault="00244FD4">
      <w:pPr>
        <w:rPr>
          <w:rFonts w:ascii="Times New Roman" w:hAnsi="Times New Roman"/>
          <w:color w:val="000000"/>
          <w:sz w:val="32"/>
          <w:szCs w:val="32"/>
        </w:rPr>
      </w:pPr>
    </w:p>
    <w:p w:rsidR="00244FD4" w:rsidRDefault="00244FD4">
      <w:pPr>
        <w:rPr>
          <w:rFonts w:ascii="Times New Roman" w:hAnsi="Times New Roman"/>
          <w:color w:val="000000"/>
          <w:sz w:val="32"/>
          <w:szCs w:val="32"/>
        </w:rPr>
      </w:pPr>
    </w:p>
    <w:p w:rsidR="00244FD4" w:rsidRDefault="00244FD4">
      <w:pPr>
        <w:rPr>
          <w:rFonts w:ascii="Times New Roman" w:hAnsi="Times New Roman"/>
          <w:color w:val="000000"/>
          <w:sz w:val="32"/>
          <w:szCs w:val="32"/>
        </w:rPr>
      </w:pPr>
    </w:p>
    <w:p w:rsidR="00244FD4" w:rsidRDefault="00244FD4">
      <w:pPr>
        <w:rPr>
          <w:rFonts w:ascii="Times New Roman" w:hAnsi="Times New Roman"/>
          <w:color w:val="000000"/>
          <w:sz w:val="32"/>
          <w:szCs w:val="32"/>
        </w:rPr>
      </w:pPr>
    </w:p>
    <w:p w:rsidR="00244FD4" w:rsidRDefault="00244FD4">
      <w:pPr>
        <w:rPr>
          <w:rFonts w:ascii="Times New Roman" w:hAnsi="Times New Roman"/>
          <w:color w:val="000000"/>
          <w:sz w:val="32"/>
          <w:szCs w:val="32"/>
        </w:rPr>
      </w:pPr>
      <w:bookmarkStart w:id="0" w:name="_GoBack"/>
      <w:bookmarkEnd w:id="0"/>
    </w:p>
    <w:sectPr w:rsidR="00244FD4">
      <w:pgSz w:w="11906" w:h="16838"/>
      <w:pgMar w:top="1984" w:right="1474" w:bottom="1361" w:left="147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简体">
    <w:altName w:val="Arial Unicode MS"/>
    <w:charset w:val="00"/>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682"/>
    <w:multiLevelType w:val="multilevel"/>
    <w:tmpl w:val="01821682"/>
    <w:lvl w:ilvl="0">
      <w:start w:val="1"/>
      <w:numFmt w:val="decimal"/>
      <w:lvlText w:val="%1"/>
      <w:lvlJc w:val="center"/>
      <w:pPr>
        <w:tabs>
          <w:tab w:val="left" w:pos="-4"/>
        </w:tabs>
        <w:ind w:left="-4" w:firstLine="288"/>
      </w:pPr>
      <w:rPr>
        <w:rFonts w:hint="default"/>
      </w:rPr>
    </w:lvl>
    <w:lvl w:ilvl="1">
      <w:start w:val="1"/>
      <w:numFmt w:val="lowerLetter"/>
      <w:lvlText w:val="%2)"/>
      <w:lvlJc w:val="left"/>
      <w:pPr>
        <w:tabs>
          <w:tab w:val="left" w:pos="897"/>
        </w:tabs>
        <w:ind w:left="897" w:hanging="420"/>
      </w:pPr>
    </w:lvl>
    <w:lvl w:ilvl="2">
      <w:start w:val="1"/>
      <w:numFmt w:val="lowerRoman"/>
      <w:lvlText w:val="%3."/>
      <w:lvlJc w:val="right"/>
      <w:pPr>
        <w:tabs>
          <w:tab w:val="left" w:pos="1317"/>
        </w:tabs>
        <w:ind w:left="1317" w:hanging="420"/>
      </w:pPr>
    </w:lvl>
    <w:lvl w:ilvl="3">
      <w:start w:val="1"/>
      <w:numFmt w:val="decimal"/>
      <w:lvlText w:val="%4."/>
      <w:lvlJc w:val="left"/>
      <w:pPr>
        <w:tabs>
          <w:tab w:val="left" w:pos="1737"/>
        </w:tabs>
        <w:ind w:left="1737" w:hanging="420"/>
      </w:pPr>
    </w:lvl>
    <w:lvl w:ilvl="4">
      <w:start w:val="1"/>
      <w:numFmt w:val="lowerLetter"/>
      <w:lvlText w:val="%5)"/>
      <w:lvlJc w:val="left"/>
      <w:pPr>
        <w:tabs>
          <w:tab w:val="left" w:pos="2157"/>
        </w:tabs>
        <w:ind w:left="2157" w:hanging="420"/>
      </w:pPr>
    </w:lvl>
    <w:lvl w:ilvl="5">
      <w:start w:val="1"/>
      <w:numFmt w:val="lowerRoman"/>
      <w:lvlText w:val="%6."/>
      <w:lvlJc w:val="right"/>
      <w:pPr>
        <w:tabs>
          <w:tab w:val="left" w:pos="2577"/>
        </w:tabs>
        <w:ind w:left="2577" w:hanging="420"/>
      </w:pPr>
    </w:lvl>
    <w:lvl w:ilvl="6">
      <w:start w:val="1"/>
      <w:numFmt w:val="decimal"/>
      <w:lvlText w:val="%7."/>
      <w:lvlJc w:val="left"/>
      <w:pPr>
        <w:tabs>
          <w:tab w:val="left" w:pos="2997"/>
        </w:tabs>
        <w:ind w:left="2997" w:hanging="420"/>
      </w:pPr>
    </w:lvl>
    <w:lvl w:ilvl="7">
      <w:start w:val="1"/>
      <w:numFmt w:val="lowerLetter"/>
      <w:lvlText w:val="%8)"/>
      <w:lvlJc w:val="left"/>
      <w:pPr>
        <w:tabs>
          <w:tab w:val="left" w:pos="3417"/>
        </w:tabs>
        <w:ind w:left="3417" w:hanging="420"/>
      </w:pPr>
    </w:lvl>
    <w:lvl w:ilvl="8">
      <w:start w:val="1"/>
      <w:numFmt w:val="lowerRoman"/>
      <w:lvlText w:val="%9."/>
      <w:lvlJc w:val="right"/>
      <w:pPr>
        <w:tabs>
          <w:tab w:val="left" w:pos="3837"/>
        </w:tabs>
        <w:ind w:left="3837" w:hanging="420"/>
      </w:pPr>
    </w:lvl>
  </w:abstractNum>
  <w:abstractNum w:abstractNumId="1">
    <w:nsid w:val="3C8E4B42"/>
    <w:multiLevelType w:val="multilevel"/>
    <w:tmpl w:val="3C8E4B42"/>
    <w:lvl w:ilvl="0">
      <w:start w:val="1"/>
      <w:numFmt w:val="decimal"/>
      <w:lvlText w:val="%1"/>
      <w:lvlJc w:val="center"/>
      <w:pPr>
        <w:tabs>
          <w:tab w:val="left" w:pos="0"/>
        </w:tabs>
        <w:ind w:left="0" w:firstLine="288"/>
      </w:pPr>
      <w:rPr>
        <w:rFonts w:hint="default"/>
      </w:rPr>
    </w:lvl>
    <w:lvl w:ilvl="1">
      <w:start w:val="1"/>
      <w:numFmt w:val="lowerLetter"/>
      <w:lvlText w:val="%2)"/>
      <w:lvlJc w:val="left"/>
      <w:pPr>
        <w:tabs>
          <w:tab w:val="left" w:pos="901"/>
        </w:tabs>
        <w:ind w:left="901" w:hanging="420"/>
      </w:pPr>
    </w:lvl>
    <w:lvl w:ilvl="2">
      <w:start w:val="1"/>
      <w:numFmt w:val="lowerRoman"/>
      <w:lvlText w:val="%3."/>
      <w:lvlJc w:val="right"/>
      <w:pPr>
        <w:tabs>
          <w:tab w:val="left" w:pos="1321"/>
        </w:tabs>
        <w:ind w:left="1321" w:hanging="420"/>
      </w:pPr>
    </w:lvl>
    <w:lvl w:ilvl="3">
      <w:start w:val="1"/>
      <w:numFmt w:val="decimal"/>
      <w:lvlText w:val="%4."/>
      <w:lvlJc w:val="left"/>
      <w:pPr>
        <w:tabs>
          <w:tab w:val="left" w:pos="1741"/>
        </w:tabs>
        <w:ind w:left="1741" w:hanging="420"/>
      </w:pPr>
    </w:lvl>
    <w:lvl w:ilvl="4">
      <w:start w:val="1"/>
      <w:numFmt w:val="lowerLetter"/>
      <w:lvlText w:val="%5)"/>
      <w:lvlJc w:val="left"/>
      <w:pPr>
        <w:tabs>
          <w:tab w:val="left" w:pos="2161"/>
        </w:tabs>
        <w:ind w:left="2161" w:hanging="420"/>
      </w:pPr>
    </w:lvl>
    <w:lvl w:ilvl="5">
      <w:start w:val="1"/>
      <w:numFmt w:val="lowerRoman"/>
      <w:lvlText w:val="%6."/>
      <w:lvlJc w:val="right"/>
      <w:pPr>
        <w:tabs>
          <w:tab w:val="left" w:pos="2581"/>
        </w:tabs>
        <w:ind w:left="2581" w:hanging="420"/>
      </w:pPr>
    </w:lvl>
    <w:lvl w:ilvl="6">
      <w:start w:val="1"/>
      <w:numFmt w:val="decimal"/>
      <w:lvlText w:val="%7."/>
      <w:lvlJc w:val="left"/>
      <w:pPr>
        <w:tabs>
          <w:tab w:val="left" w:pos="3001"/>
        </w:tabs>
        <w:ind w:left="3001" w:hanging="420"/>
      </w:pPr>
    </w:lvl>
    <w:lvl w:ilvl="7">
      <w:start w:val="1"/>
      <w:numFmt w:val="lowerLetter"/>
      <w:lvlText w:val="%8)"/>
      <w:lvlJc w:val="left"/>
      <w:pPr>
        <w:tabs>
          <w:tab w:val="left" w:pos="3421"/>
        </w:tabs>
        <w:ind w:left="3421" w:hanging="420"/>
      </w:pPr>
    </w:lvl>
    <w:lvl w:ilvl="8">
      <w:start w:val="1"/>
      <w:numFmt w:val="lowerRoman"/>
      <w:lvlText w:val="%9."/>
      <w:lvlJc w:val="right"/>
      <w:pPr>
        <w:tabs>
          <w:tab w:val="left"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Yjg3MmM0NzdiZjEyM2M5NjJlZGY3NjVjOGRlOWEifQ=="/>
  </w:docVars>
  <w:rsids>
    <w:rsidRoot w:val="00244FD4"/>
    <w:rsid w:val="DD6399A2"/>
    <w:rsid w:val="EFFFD076"/>
    <w:rsid w:val="FEEF52A7"/>
    <w:rsid w:val="00244FD4"/>
    <w:rsid w:val="00B36197"/>
    <w:rsid w:val="2834089F"/>
    <w:rsid w:val="39643A18"/>
    <w:rsid w:val="4AC24D5B"/>
    <w:rsid w:val="65D9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36197"/>
    <w:rPr>
      <w:sz w:val="18"/>
      <w:szCs w:val="18"/>
    </w:rPr>
  </w:style>
  <w:style w:type="character" w:customStyle="1" w:styleId="Char">
    <w:name w:val="批注框文本 Char"/>
    <w:basedOn w:val="a0"/>
    <w:link w:val="a3"/>
    <w:rsid w:val="00B36197"/>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36197"/>
    <w:rPr>
      <w:sz w:val="18"/>
      <w:szCs w:val="18"/>
    </w:rPr>
  </w:style>
  <w:style w:type="character" w:customStyle="1" w:styleId="Char">
    <w:name w:val="批注框文本 Char"/>
    <w:basedOn w:val="a0"/>
    <w:link w:val="a3"/>
    <w:rsid w:val="00B3619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605</Characters>
  <Application>Microsoft Office Word</Application>
  <DocSecurity>0</DocSecurity>
  <Lines>5</Lines>
  <Paragraphs>1</Paragraphs>
  <ScaleCrop>false</ScaleCrop>
  <Company>Home</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2</cp:revision>
  <dcterms:created xsi:type="dcterms:W3CDTF">2023-07-11T14:41:00Z</dcterms:created>
  <dcterms:modified xsi:type="dcterms:W3CDTF">2023-08-22T02:48:00Z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A4EDEF3E17AA405EAD3064D2BB4E1B39_13</vt:lpwstr>
  </property>
</Properties>
</file>