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F7E" w:rsidRDefault="009F0C0F">
      <w:pPr>
        <w:spacing w:line="580" w:lineRule="exact"/>
        <w:rPr>
          <w:rFonts w:ascii="黑体" w:eastAsia="黑体"/>
          <w:color w:val="000000"/>
          <w:sz w:val="32"/>
          <w:szCs w:val="32"/>
        </w:rPr>
      </w:pPr>
      <w:r>
        <w:rPr>
          <w:rFonts w:ascii="黑体" w:eastAsia="黑体" w:hint="eastAsia"/>
          <w:color w:val="000000"/>
          <w:sz w:val="32"/>
          <w:szCs w:val="32"/>
        </w:rPr>
        <w:t>附件</w:t>
      </w:r>
      <w:r>
        <w:rPr>
          <w:rFonts w:ascii="黑体" w:eastAsia="黑体" w:hint="eastAsia"/>
          <w:color w:val="000000"/>
          <w:sz w:val="32"/>
          <w:szCs w:val="32"/>
        </w:rPr>
        <w:t>4</w:t>
      </w:r>
    </w:p>
    <w:p w:rsidR="00095F7E" w:rsidRDefault="009F0C0F">
      <w:pPr>
        <w:spacing w:line="580" w:lineRule="exact"/>
        <w:jc w:val="center"/>
        <w:rPr>
          <w:rFonts w:ascii="方正小标宋简体" w:eastAsia="方正小标宋简体"/>
          <w:color w:val="000000"/>
          <w:spacing w:val="-20"/>
          <w:sz w:val="44"/>
          <w:szCs w:val="44"/>
        </w:rPr>
      </w:pPr>
      <w:r>
        <w:rPr>
          <w:rFonts w:ascii="方正小标宋简体" w:eastAsia="方正小标宋简体" w:hint="eastAsia"/>
          <w:color w:val="000000"/>
          <w:spacing w:val="-20"/>
          <w:sz w:val="44"/>
          <w:szCs w:val="44"/>
        </w:rPr>
        <w:t>汽车、摩托车、摩托车发动机单车</w:t>
      </w:r>
      <w:r>
        <w:rPr>
          <w:rFonts w:ascii="方正小标宋简体" w:eastAsia="方正小标宋简体" w:hint="eastAsia"/>
          <w:color w:val="000000"/>
          <w:spacing w:val="-20"/>
          <w:sz w:val="44"/>
          <w:szCs w:val="44"/>
        </w:rPr>
        <w:t>CCC</w:t>
      </w:r>
      <w:r>
        <w:rPr>
          <w:rFonts w:ascii="方正小标宋简体" w:eastAsia="方正小标宋简体" w:hint="eastAsia"/>
          <w:color w:val="000000"/>
          <w:spacing w:val="-20"/>
          <w:sz w:val="44"/>
          <w:szCs w:val="44"/>
        </w:rPr>
        <w:t>认证</w:t>
      </w:r>
    </w:p>
    <w:p w:rsidR="00095F7E" w:rsidRDefault="009F0C0F">
      <w:pPr>
        <w:spacing w:line="580" w:lineRule="exact"/>
        <w:jc w:val="center"/>
        <w:rPr>
          <w:rFonts w:ascii="方正小标宋简体" w:eastAsia="方正小标宋简体"/>
          <w:color w:val="000000"/>
          <w:spacing w:val="-20"/>
          <w:sz w:val="44"/>
          <w:szCs w:val="44"/>
        </w:rPr>
      </w:pPr>
      <w:r>
        <w:rPr>
          <w:rFonts w:ascii="方正小标宋简体" w:eastAsia="方正小标宋简体" w:hint="eastAsia"/>
          <w:color w:val="000000"/>
          <w:spacing w:val="-20"/>
          <w:sz w:val="44"/>
          <w:szCs w:val="44"/>
        </w:rPr>
        <w:t>相关程序及监督管理要求</w:t>
      </w:r>
    </w:p>
    <w:p w:rsidR="00095F7E" w:rsidRDefault="00095F7E">
      <w:pPr>
        <w:spacing w:line="580" w:lineRule="exact"/>
        <w:rPr>
          <w:rFonts w:ascii="方正小标宋简体" w:eastAsia="方正小标宋简体"/>
          <w:color w:val="000000"/>
          <w:sz w:val="44"/>
          <w:szCs w:val="44"/>
        </w:rPr>
      </w:pPr>
    </w:p>
    <w:p w:rsidR="00095F7E" w:rsidRDefault="009F0C0F">
      <w:pPr>
        <w:spacing w:line="580" w:lineRule="exact"/>
        <w:ind w:firstLineChars="200" w:firstLine="640"/>
        <w:rPr>
          <w:rFonts w:ascii="黑体" w:eastAsia="黑体"/>
          <w:color w:val="000000"/>
          <w:sz w:val="32"/>
          <w:szCs w:val="32"/>
        </w:rPr>
      </w:pPr>
      <w:r>
        <w:rPr>
          <w:rFonts w:ascii="黑体" w:eastAsia="黑体" w:hint="eastAsia"/>
          <w:color w:val="000000"/>
          <w:sz w:val="32"/>
          <w:szCs w:val="32"/>
        </w:rPr>
        <w:t>一、申请和受理环节相关要求</w:t>
      </w:r>
    </w:p>
    <w:p w:rsidR="00095F7E" w:rsidRDefault="009F0C0F">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1.</w:t>
      </w:r>
      <w:r>
        <w:rPr>
          <w:rFonts w:ascii="方正仿宋简体" w:eastAsia="方正仿宋简体" w:hint="eastAsia"/>
          <w:color w:val="000000"/>
          <w:sz w:val="32"/>
          <w:szCs w:val="32"/>
        </w:rPr>
        <w:t>指定产品认证机构应规范申请人的资质，强化申请人的质量责任，加强对申请人的监管，把握好审核原则；</w:t>
      </w:r>
    </w:p>
    <w:p w:rsidR="00095F7E" w:rsidRDefault="009F0C0F">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2.</w:t>
      </w:r>
      <w:r>
        <w:rPr>
          <w:rFonts w:ascii="方正仿宋简体" w:eastAsia="方正仿宋简体" w:hint="eastAsia"/>
          <w:color w:val="000000"/>
          <w:sz w:val="32"/>
          <w:szCs w:val="32"/>
        </w:rPr>
        <w:t>指定产品认证机构规范对可受理申请的车型认定，加强资料审核和信息化建设，明确车辆变更和送检期限的规定，确保文件资料、证书、车型的一一对应。</w:t>
      </w:r>
    </w:p>
    <w:p w:rsidR="00095F7E" w:rsidRDefault="009F0C0F">
      <w:pPr>
        <w:spacing w:line="580" w:lineRule="exact"/>
        <w:ind w:firstLineChars="200" w:firstLine="640"/>
        <w:rPr>
          <w:rFonts w:ascii="黑体" w:eastAsia="黑体"/>
          <w:color w:val="000000"/>
          <w:sz w:val="32"/>
          <w:szCs w:val="32"/>
        </w:rPr>
      </w:pPr>
      <w:r>
        <w:rPr>
          <w:rFonts w:ascii="黑体" w:eastAsia="黑体" w:hint="eastAsia"/>
          <w:color w:val="000000"/>
          <w:sz w:val="32"/>
          <w:szCs w:val="32"/>
        </w:rPr>
        <w:t>二、检测认证环节的相关要求</w:t>
      </w:r>
    </w:p>
    <w:p w:rsidR="00095F7E" w:rsidRDefault="009F0C0F">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1.</w:t>
      </w:r>
      <w:r>
        <w:rPr>
          <w:rFonts w:ascii="方正仿宋简体" w:eastAsia="方正仿宋简体" w:hint="eastAsia"/>
          <w:color w:val="000000"/>
          <w:sz w:val="32"/>
          <w:szCs w:val="32"/>
        </w:rPr>
        <w:t>指定产品认证机构对各指定检测机构的试验方案及检测报告格式进行梳理和统一。</w:t>
      </w:r>
    </w:p>
    <w:p w:rsidR="00095F7E" w:rsidRDefault="009F0C0F">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2.</w:t>
      </w:r>
      <w:r>
        <w:rPr>
          <w:rFonts w:ascii="方正仿宋简体" w:eastAsia="方正仿宋简体" w:hint="eastAsia"/>
          <w:color w:val="000000"/>
          <w:sz w:val="32"/>
          <w:szCs w:val="32"/>
        </w:rPr>
        <w:t>单车（单机）认证的指定检测机构，需在强制性产品认证指定的检测范围内，实施检测。应加强样品和检测管理，</w:t>
      </w:r>
      <w:r>
        <w:rPr>
          <w:rFonts w:ascii="方正仿宋简体" w:eastAsia="方正仿宋简体" w:hint="eastAsia"/>
          <w:color w:val="000000"/>
          <w:sz w:val="32"/>
          <w:szCs w:val="32"/>
        </w:rPr>
        <w:t xml:space="preserve"> </w:t>
      </w:r>
      <w:r>
        <w:rPr>
          <w:rFonts w:ascii="方正仿宋简体" w:eastAsia="方正仿宋简体" w:hint="eastAsia"/>
          <w:color w:val="000000"/>
          <w:sz w:val="32"/>
          <w:szCs w:val="32"/>
        </w:rPr>
        <w:t>明确可追溯性的要求。</w:t>
      </w:r>
    </w:p>
    <w:p w:rsidR="00095F7E" w:rsidRDefault="009F0C0F">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3.</w:t>
      </w:r>
      <w:r>
        <w:rPr>
          <w:rFonts w:ascii="方正仿宋简体" w:eastAsia="方正仿宋简体" w:hint="eastAsia"/>
          <w:color w:val="000000"/>
          <w:sz w:val="32"/>
          <w:szCs w:val="32"/>
        </w:rPr>
        <w:t>对各检测机构合格判定存在差异的检测项目，由国家认监委强制性产品认证技术专家组对相关项目的合格判定尺度作出统一，各检测机构统一执行。</w:t>
      </w:r>
    </w:p>
    <w:p w:rsidR="00095F7E" w:rsidRDefault="009F0C0F">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4.</w:t>
      </w:r>
      <w:r>
        <w:rPr>
          <w:rFonts w:ascii="方正仿宋简体" w:eastAsia="方正仿宋简体"/>
          <w:color w:val="000000"/>
          <w:sz w:val="32"/>
          <w:szCs w:val="32"/>
        </w:rPr>
        <w:t>指定认证机构根据申请资料、检测及检查结果进行技术评价，评价合格的将相关信息向相关省级质量技术监督局（</w:t>
      </w:r>
      <w:r>
        <w:rPr>
          <w:rFonts w:ascii="方正仿宋简体" w:eastAsia="方正仿宋简体" w:hint="eastAsia"/>
          <w:color w:val="000000"/>
          <w:sz w:val="32"/>
          <w:szCs w:val="32"/>
        </w:rPr>
        <w:t>市场监督管理部门</w:t>
      </w:r>
      <w:r>
        <w:rPr>
          <w:rFonts w:ascii="方正仿宋简体" w:eastAsia="方正仿宋简体"/>
          <w:color w:val="000000"/>
          <w:sz w:val="32"/>
          <w:szCs w:val="32"/>
        </w:rPr>
        <w:t>）或口岸直属</w:t>
      </w:r>
      <w:r>
        <w:rPr>
          <w:rFonts w:ascii="方正仿宋简体" w:eastAsia="方正仿宋简体" w:hint="eastAsia"/>
          <w:color w:val="000000"/>
          <w:sz w:val="32"/>
          <w:szCs w:val="32"/>
        </w:rPr>
        <w:t>检验检疫</w:t>
      </w:r>
      <w:r>
        <w:rPr>
          <w:rFonts w:ascii="方正仿宋简体" w:eastAsia="方正仿宋简体"/>
          <w:color w:val="000000"/>
          <w:sz w:val="32"/>
          <w:szCs w:val="32"/>
        </w:rPr>
        <w:t>局备案后，颁发认证证书</w:t>
      </w:r>
      <w:r>
        <w:rPr>
          <w:rFonts w:ascii="方正仿宋简体" w:eastAsia="方正仿宋简体" w:hint="eastAsia"/>
          <w:color w:val="000000"/>
          <w:sz w:val="32"/>
          <w:szCs w:val="32"/>
        </w:rPr>
        <w:t>。</w:t>
      </w:r>
    </w:p>
    <w:p w:rsidR="00095F7E" w:rsidRDefault="009F0C0F">
      <w:pPr>
        <w:spacing w:line="580" w:lineRule="exact"/>
        <w:ind w:firstLineChars="200" w:firstLine="640"/>
        <w:rPr>
          <w:rFonts w:ascii="黑体" w:eastAsia="黑体"/>
          <w:color w:val="000000"/>
          <w:sz w:val="32"/>
          <w:szCs w:val="32"/>
        </w:rPr>
      </w:pPr>
      <w:r>
        <w:rPr>
          <w:rFonts w:ascii="黑体" w:eastAsia="黑体" w:hint="eastAsia"/>
          <w:color w:val="000000"/>
          <w:sz w:val="32"/>
          <w:szCs w:val="32"/>
        </w:rPr>
        <w:t>三、工作衔接及信息化要求</w:t>
      </w:r>
    </w:p>
    <w:p w:rsidR="00095F7E" w:rsidRDefault="009F0C0F">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lastRenderedPageBreak/>
        <w:t>1.</w:t>
      </w:r>
      <w:r>
        <w:rPr>
          <w:rFonts w:ascii="方正仿宋简体" w:eastAsia="方正仿宋简体" w:hint="eastAsia"/>
          <w:color w:val="000000"/>
          <w:sz w:val="32"/>
          <w:szCs w:val="32"/>
        </w:rPr>
        <w:t>指定认证机构应建立信息化工作平台作为支撑，使企业申请、地方认证认可监督管理部门备案、检测机构检验和上传报告、审核发证逐步实现在线上运行。</w:t>
      </w:r>
    </w:p>
    <w:p w:rsidR="00095F7E" w:rsidRDefault="009F0C0F">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2.</w:t>
      </w:r>
      <w:r>
        <w:rPr>
          <w:rFonts w:ascii="方正仿宋简体" w:eastAsia="方正仿宋简体" w:hint="eastAsia"/>
          <w:color w:val="000000"/>
          <w:sz w:val="32"/>
          <w:szCs w:val="32"/>
        </w:rPr>
        <w:t>认证机构在受理申请及证书发放等环节应与</w:t>
      </w:r>
      <w:r>
        <w:rPr>
          <w:rFonts w:ascii="方正仿宋简体" w:eastAsia="方正仿宋简体" w:hint="eastAsia"/>
          <w:color w:val="000000"/>
          <w:sz w:val="32"/>
          <w:szCs w:val="32"/>
        </w:rPr>
        <w:t>口岸直属检验检疫局，省级质量技术监督局（市场监督管理部门）做好信息传递与管理衔接，确保有效认证监管。</w:t>
      </w: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p>
    <w:p w:rsidR="00095F7E" w:rsidRDefault="00095F7E">
      <w:pPr>
        <w:rPr>
          <w:rFonts w:ascii="Times New Roman" w:hAnsi="Times New Roman"/>
          <w:color w:val="000000"/>
          <w:sz w:val="32"/>
          <w:szCs w:val="32"/>
        </w:rPr>
      </w:pPr>
      <w:bookmarkStart w:id="0" w:name="_GoBack"/>
      <w:bookmarkEnd w:id="0"/>
    </w:p>
    <w:sectPr w:rsidR="00095F7E">
      <w:pgSz w:w="11906" w:h="16838"/>
      <w:pgMar w:top="1984" w:right="1474" w:bottom="1361" w:left="147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简体">
    <w:altName w:val="Arial Unicode MS"/>
    <w:charset w:val="00"/>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682"/>
    <w:multiLevelType w:val="multilevel"/>
    <w:tmpl w:val="01821682"/>
    <w:lvl w:ilvl="0">
      <w:start w:val="1"/>
      <w:numFmt w:val="decimal"/>
      <w:lvlText w:val="%1"/>
      <w:lvlJc w:val="center"/>
      <w:pPr>
        <w:tabs>
          <w:tab w:val="left" w:pos="-4"/>
        </w:tabs>
        <w:ind w:left="-4" w:firstLine="288"/>
      </w:pPr>
      <w:rPr>
        <w:rFonts w:hint="default"/>
      </w:rPr>
    </w:lvl>
    <w:lvl w:ilvl="1">
      <w:start w:val="1"/>
      <w:numFmt w:val="lowerLetter"/>
      <w:lvlText w:val="%2)"/>
      <w:lvlJc w:val="left"/>
      <w:pPr>
        <w:tabs>
          <w:tab w:val="left" w:pos="897"/>
        </w:tabs>
        <w:ind w:left="897" w:hanging="420"/>
      </w:pPr>
    </w:lvl>
    <w:lvl w:ilvl="2">
      <w:start w:val="1"/>
      <w:numFmt w:val="lowerRoman"/>
      <w:lvlText w:val="%3."/>
      <w:lvlJc w:val="right"/>
      <w:pPr>
        <w:tabs>
          <w:tab w:val="left" w:pos="1317"/>
        </w:tabs>
        <w:ind w:left="1317" w:hanging="420"/>
      </w:pPr>
    </w:lvl>
    <w:lvl w:ilvl="3">
      <w:start w:val="1"/>
      <w:numFmt w:val="decimal"/>
      <w:lvlText w:val="%4."/>
      <w:lvlJc w:val="left"/>
      <w:pPr>
        <w:tabs>
          <w:tab w:val="left" w:pos="1737"/>
        </w:tabs>
        <w:ind w:left="1737" w:hanging="420"/>
      </w:pPr>
    </w:lvl>
    <w:lvl w:ilvl="4">
      <w:start w:val="1"/>
      <w:numFmt w:val="lowerLetter"/>
      <w:lvlText w:val="%5)"/>
      <w:lvlJc w:val="left"/>
      <w:pPr>
        <w:tabs>
          <w:tab w:val="left" w:pos="2157"/>
        </w:tabs>
        <w:ind w:left="2157" w:hanging="420"/>
      </w:pPr>
    </w:lvl>
    <w:lvl w:ilvl="5">
      <w:start w:val="1"/>
      <w:numFmt w:val="lowerRoman"/>
      <w:lvlText w:val="%6."/>
      <w:lvlJc w:val="right"/>
      <w:pPr>
        <w:tabs>
          <w:tab w:val="left" w:pos="2577"/>
        </w:tabs>
        <w:ind w:left="2577" w:hanging="420"/>
      </w:pPr>
    </w:lvl>
    <w:lvl w:ilvl="6">
      <w:start w:val="1"/>
      <w:numFmt w:val="decimal"/>
      <w:lvlText w:val="%7."/>
      <w:lvlJc w:val="left"/>
      <w:pPr>
        <w:tabs>
          <w:tab w:val="left" w:pos="2997"/>
        </w:tabs>
        <w:ind w:left="2997" w:hanging="420"/>
      </w:pPr>
    </w:lvl>
    <w:lvl w:ilvl="7">
      <w:start w:val="1"/>
      <w:numFmt w:val="lowerLetter"/>
      <w:lvlText w:val="%8)"/>
      <w:lvlJc w:val="left"/>
      <w:pPr>
        <w:tabs>
          <w:tab w:val="left" w:pos="3417"/>
        </w:tabs>
        <w:ind w:left="3417" w:hanging="420"/>
      </w:pPr>
    </w:lvl>
    <w:lvl w:ilvl="8">
      <w:start w:val="1"/>
      <w:numFmt w:val="lowerRoman"/>
      <w:lvlText w:val="%9."/>
      <w:lvlJc w:val="right"/>
      <w:pPr>
        <w:tabs>
          <w:tab w:val="left" w:pos="3837"/>
        </w:tabs>
        <w:ind w:left="3837" w:hanging="420"/>
      </w:pPr>
    </w:lvl>
  </w:abstractNum>
  <w:abstractNum w:abstractNumId="1">
    <w:nsid w:val="3C8E4B42"/>
    <w:multiLevelType w:val="multilevel"/>
    <w:tmpl w:val="3C8E4B42"/>
    <w:lvl w:ilvl="0">
      <w:start w:val="1"/>
      <w:numFmt w:val="decimal"/>
      <w:lvlText w:val="%1"/>
      <w:lvlJc w:val="center"/>
      <w:pPr>
        <w:tabs>
          <w:tab w:val="left" w:pos="0"/>
        </w:tabs>
        <w:ind w:left="0" w:firstLine="288"/>
      </w:pPr>
      <w:rPr>
        <w:rFonts w:hint="default"/>
      </w:rPr>
    </w:lvl>
    <w:lvl w:ilvl="1">
      <w:start w:val="1"/>
      <w:numFmt w:val="lowerLetter"/>
      <w:lvlText w:val="%2)"/>
      <w:lvlJc w:val="left"/>
      <w:pPr>
        <w:tabs>
          <w:tab w:val="left" w:pos="901"/>
        </w:tabs>
        <w:ind w:left="901" w:hanging="420"/>
      </w:pPr>
    </w:lvl>
    <w:lvl w:ilvl="2">
      <w:start w:val="1"/>
      <w:numFmt w:val="lowerRoman"/>
      <w:lvlText w:val="%3."/>
      <w:lvlJc w:val="right"/>
      <w:pPr>
        <w:tabs>
          <w:tab w:val="left" w:pos="1321"/>
        </w:tabs>
        <w:ind w:left="1321" w:hanging="420"/>
      </w:pPr>
    </w:lvl>
    <w:lvl w:ilvl="3">
      <w:start w:val="1"/>
      <w:numFmt w:val="decimal"/>
      <w:lvlText w:val="%4."/>
      <w:lvlJc w:val="left"/>
      <w:pPr>
        <w:tabs>
          <w:tab w:val="left" w:pos="1741"/>
        </w:tabs>
        <w:ind w:left="1741" w:hanging="420"/>
      </w:pPr>
    </w:lvl>
    <w:lvl w:ilvl="4">
      <w:start w:val="1"/>
      <w:numFmt w:val="lowerLetter"/>
      <w:lvlText w:val="%5)"/>
      <w:lvlJc w:val="left"/>
      <w:pPr>
        <w:tabs>
          <w:tab w:val="left" w:pos="2161"/>
        </w:tabs>
        <w:ind w:left="2161" w:hanging="420"/>
      </w:pPr>
    </w:lvl>
    <w:lvl w:ilvl="5">
      <w:start w:val="1"/>
      <w:numFmt w:val="lowerRoman"/>
      <w:lvlText w:val="%6."/>
      <w:lvlJc w:val="right"/>
      <w:pPr>
        <w:tabs>
          <w:tab w:val="left" w:pos="2581"/>
        </w:tabs>
        <w:ind w:left="2581" w:hanging="420"/>
      </w:pPr>
    </w:lvl>
    <w:lvl w:ilvl="6">
      <w:start w:val="1"/>
      <w:numFmt w:val="decimal"/>
      <w:lvlText w:val="%7."/>
      <w:lvlJc w:val="left"/>
      <w:pPr>
        <w:tabs>
          <w:tab w:val="left" w:pos="3001"/>
        </w:tabs>
        <w:ind w:left="3001" w:hanging="420"/>
      </w:pPr>
    </w:lvl>
    <w:lvl w:ilvl="7">
      <w:start w:val="1"/>
      <w:numFmt w:val="lowerLetter"/>
      <w:lvlText w:val="%8)"/>
      <w:lvlJc w:val="left"/>
      <w:pPr>
        <w:tabs>
          <w:tab w:val="left" w:pos="3421"/>
        </w:tabs>
        <w:ind w:left="3421" w:hanging="420"/>
      </w:pPr>
    </w:lvl>
    <w:lvl w:ilvl="8">
      <w:start w:val="1"/>
      <w:numFmt w:val="lowerRoman"/>
      <w:lvlText w:val="%9."/>
      <w:lvlJc w:val="right"/>
      <w:pPr>
        <w:tabs>
          <w:tab w:val="left"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Yjg3MmM0NzdiZjEyM2M5NjJlZGY3NjVjOGRlOWEifQ=="/>
  </w:docVars>
  <w:rsids>
    <w:rsidRoot w:val="00095F7E"/>
    <w:rsid w:val="DD6399A2"/>
    <w:rsid w:val="EFFFD076"/>
    <w:rsid w:val="FEEF52A7"/>
    <w:rsid w:val="00095F7E"/>
    <w:rsid w:val="009F0C0F"/>
    <w:rsid w:val="2834089F"/>
    <w:rsid w:val="39643A18"/>
    <w:rsid w:val="4AC24D5B"/>
    <w:rsid w:val="65D9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F0C0F"/>
    <w:rPr>
      <w:sz w:val="18"/>
      <w:szCs w:val="18"/>
    </w:rPr>
  </w:style>
  <w:style w:type="character" w:customStyle="1" w:styleId="Char">
    <w:name w:val="批注框文本 Char"/>
    <w:basedOn w:val="a0"/>
    <w:link w:val="a3"/>
    <w:rsid w:val="009F0C0F"/>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F0C0F"/>
    <w:rPr>
      <w:sz w:val="18"/>
      <w:szCs w:val="18"/>
    </w:rPr>
  </w:style>
  <w:style w:type="character" w:customStyle="1" w:styleId="Char">
    <w:name w:val="批注框文本 Char"/>
    <w:basedOn w:val="a0"/>
    <w:link w:val="a3"/>
    <w:rsid w:val="009F0C0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522</Characters>
  <Application>Microsoft Office Word</Application>
  <DocSecurity>0</DocSecurity>
  <Lines>4</Lines>
  <Paragraphs>1</Paragraphs>
  <ScaleCrop>false</ScaleCrop>
  <Company>Home</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2</cp:revision>
  <dcterms:created xsi:type="dcterms:W3CDTF">2023-07-11T14:41:00Z</dcterms:created>
  <dcterms:modified xsi:type="dcterms:W3CDTF">2023-08-22T02:48:00Z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A4EDEF3E17AA405EAD3064D2BB4E1B39_13</vt:lpwstr>
  </property>
</Properties>
</file>