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关于对食品生产经营企业</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简体" w:cs="Times New Roman"/>
          <w:sz w:val="44"/>
          <w:szCs w:val="44"/>
          <w:highlight w:val="none"/>
          <w:lang w:val="en-US" w:eastAsia="zh-CN"/>
        </w:rPr>
      </w:pPr>
      <w:r>
        <w:rPr>
          <w:rFonts w:hint="eastAsia" w:ascii="Times New Roman" w:hAnsi="Times New Roman" w:eastAsia="方正小标宋简体" w:cs="Times New Roman"/>
          <w:sz w:val="44"/>
          <w:szCs w:val="44"/>
          <w:highlight w:val="none"/>
          <w:lang w:val="en-US" w:eastAsia="zh-CN"/>
        </w:rPr>
        <w:t>内部举报人</w:t>
      </w:r>
      <w:r>
        <w:rPr>
          <w:rFonts w:hint="default" w:ascii="Times New Roman" w:hAnsi="Times New Roman" w:eastAsia="方正小标宋简体" w:cs="Times New Roman"/>
          <w:sz w:val="44"/>
          <w:szCs w:val="44"/>
          <w:highlight w:val="none"/>
          <w:lang w:val="en-US" w:eastAsia="zh-CN"/>
        </w:rPr>
        <w:t>举报实施奖励的公告</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楷体_GB2312" w:cs="Times New Roman"/>
          <w:i w:val="0"/>
          <w:iCs w:val="0"/>
          <w:caps w:val="0"/>
          <w:color w:val="000000"/>
          <w:spacing w:val="0"/>
          <w:sz w:val="32"/>
          <w:szCs w:val="32"/>
          <w:highlight w:val="none"/>
          <w:shd w:val="clear" w:color="auto" w:fill="FFFFFF"/>
          <w:lang w:val="en-US" w:eastAsia="zh-CN"/>
        </w:rPr>
      </w:pPr>
      <w:r>
        <w:rPr>
          <w:rFonts w:hint="default" w:ascii="Times New Roman" w:hAnsi="Times New Roman" w:eastAsia="楷体_GB2312" w:cs="Times New Roman"/>
          <w:i w:val="0"/>
          <w:iCs w:val="0"/>
          <w:caps w:val="0"/>
          <w:color w:val="000000"/>
          <w:spacing w:val="0"/>
          <w:sz w:val="32"/>
          <w:szCs w:val="32"/>
          <w:highlight w:val="none"/>
          <w:shd w:val="clear" w:color="auto" w:fill="FFFFFF"/>
          <w:lang w:val="en-US" w:eastAsia="zh-CN"/>
        </w:rPr>
        <w:t>（</w:t>
      </w:r>
      <w:r>
        <w:rPr>
          <w:rFonts w:hint="eastAsia" w:ascii="Times New Roman" w:hAnsi="Times New Roman" w:eastAsia="楷体_GB2312" w:cs="Times New Roman"/>
          <w:i w:val="0"/>
          <w:iCs w:val="0"/>
          <w:caps w:val="0"/>
          <w:color w:val="000000"/>
          <w:spacing w:val="0"/>
          <w:sz w:val="32"/>
          <w:szCs w:val="32"/>
          <w:highlight w:val="none"/>
          <w:shd w:val="clear" w:color="auto" w:fill="FFFFFF"/>
          <w:lang w:val="en-US" w:eastAsia="zh-CN"/>
        </w:rPr>
        <w:t>征求意见稿</w:t>
      </w:r>
      <w:r>
        <w:rPr>
          <w:rFonts w:hint="default" w:ascii="Times New Roman" w:hAnsi="Times New Roman" w:eastAsia="楷体_GB2312" w:cs="Times New Roman"/>
          <w:i w:val="0"/>
          <w:iCs w:val="0"/>
          <w:caps w:val="0"/>
          <w:color w:val="000000"/>
          <w:spacing w:val="0"/>
          <w:sz w:val="32"/>
          <w:szCs w:val="32"/>
          <w:highlight w:val="none"/>
          <w:shd w:val="clear" w:color="auto" w:fill="FFFFFF"/>
          <w:lang w:val="en-US" w:eastAsia="zh-CN"/>
        </w:rPr>
        <w:t>）</w:t>
      </w:r>
    </w:p>
    <w:p>
      <w:pPr>
        <w:pStyle w:val="2"/>
        <w:keepNext w:val="0"/>
        <w:keepLines w:val="0"/>
        <w:pageBreakBefore w:val="0"/>
        <w:kinsoku/>
        <w:wordWrap/>
        <w:overflowPunct/>
        <w:topLinePunct w:val="0"/>
        <w:autoSpaceDE/>
        <w:autoSpaceDN/>
        <w:bidi w:val="0"/>
        <w:spacing w:beforeAutospacing="0" w:afterAutospacing="0" w:line="594" w:lineRule="exact"/>
        <w:textAlignment w:val="auto"/>
        <w:rPr>
          <w:rFonts w:hint="default"/>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为进一步发挥食品生产经营企业内部监督作用，及时发现和控制食品安全风险，依据《中华人民共和国食品安全法》及其实施条例等规定，现就实施食品生产经营企业内部举报奖励制度有关事项公告如下。</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一、食品生产经营企业及</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网络食品交易第三方平台提供者</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（以</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下简称</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企业</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）的内部员工</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及相关知情人</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（以下简称</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向市场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监督管理</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部门</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实名</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举报</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本企业</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食品安全违法行为线索</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的，</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适用本公告。</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二、本公告所称</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内部员工</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，是指与企业</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签订劳动合同或办理社保</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的人员；相关知情人，是指在一年内</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与企业解除劳动合同</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的</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员工、与企业存在</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业务</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联系的人员、</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企业</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临时聘用</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的</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人员等。</w:t>
      </w:r>
    </w:p>
    <w:p>
      <w:pPr>
        <w:keepNext w:val="0"/>
        <w:keepLines w:val="0"/>
        <w:pageBreakBefore w:val="0"/>
        <w:widowControl/>
        <w:numPr>
          <w:ilvl w:val="0"/>
          <w:numId w:val="0"/>
        </w:numPr>
        <w:shd w:val="clear" w:color="auto" w:fill="FFFFFF"/>
        <w:kinsoku/>
        <w:wordWrap/>
        <w:overflowPunct/>
        <w:topLinePunct w:val="0"/>
        <w:bidi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三、</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市场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监督管理</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部门</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收到“</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举报后，应当及时</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开展调查</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核实，</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并告知“</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”是否立案</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w:t>
      </w:r>
    </w:p>
    <w:p>
      <w:pPr>
        <w:keepNext w:val="0"/>
        <w:keepLines w:val="0"/>
        <w:pageBreakBefore w:val="0"/>
        <w:widowControl/>
        <w:numPr>
          <w:ilvl w:val="0"/>
          <w:numId w:val="0"/>
        </w:numPr>
        <w:shd w:val="clear" w:color="auto" w:fill="FFFFFF"/>
        <w:kinsoku/>
        <w:wordWrap/>
        <w:overflowPunct/>
        <w:topLinePunct w:val="0"/>
        <w:bidi w:val="0"/>
        <w:spacing w:beforeAutospacing="0" w:afterAutospacing="0" w:line="594" w:lineRule="exact"/>
        <w:ind w:firstLine="640" w:firstLineChars="200"/>
        <w:jc w:val="both"/>
        <w:textAlignment w:val="auto"/>
        <w:rPr>
          <w:rFonts w:hint="default"/>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四、负责调查处理的市场监督管理部门经查证属实，作出最终处理决定后，对符合奖励条件的“吹哨人”应当</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予以奖励</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奖励条件、奖励标准和奖励程序</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等</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按照《市场监管领域重大违法行为举报奖励暂行办法》（</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国市监稽规〔2021〕4号，</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以下简称《办法》）第</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七</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条至第十九条</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执行</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。除物质奖励外，在</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征得“</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同意的前提下，可实施通报表扬、发放荣誉证书、授予荣誉称号等精神奖励。</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五、同一</w:t>
      </w:r>
      <w:r>
        <w:rPr>
          <w:rFonts w:hint="eastAsia" w:ascii="Times New Roman" w:hAnsi="Times New Roman" w:eastAsia="仿宋_GB2312" w:cs="Times New Roman"/>
          <w:color w:val="000000"/>
          <w:sz w:val="32"/>
          <w:szCs w:val="32"/>
          <w:highlight w:val="none"/>
          <w:shd w:val="clear" w:color="auto" w:fill="FFFFFF"/>
          <w:lang w:eastAsia="zh-CN"/>
        </w:rPr>
        <w:t>“吹哨人”</w:t>
      </w:r>
      <w:r>
        <w:rPr>
          <w:rFonts w:hint="eastAsia" w:ascii="Times New Roman" w:hAnsi="Times New Roman" w:eastAsia="仿宋_GB2312" w:cs="Times New Roman"/>
          <w:color w:val="000000"/>
          <w:sz w:val="32"/>
          <w:szCs w:val="32"/>
          <w:highlight w:val="none"/>
          <w:shd w:val="clear" w:color="auto" w:fill="FFFFFF"/>
        </w:rPr>
        <w:t>举报同一</w:t>
      </w:r>
      <w:r>
        <w:rPr>
          <w:rFonts w:hint="eastAsia" w:ascii="Times New Roman" w:hAnsi="Times New Roman" w:eastAsia="仿宋_GB2312" w:cs="Times New Roman"/>
          <w:color w:val="000000"/>
          <w:sz w:val="32"/>
          <w:szCs w:val="32"/>
          <w:highlight w:val="none"/>
          <w:shd w:val="clear" w:color="auto" w:fill="FFFFFF"/>
          <w:lang w:eastAsia="zh-CN"/>
        </w:rPr>
        <w:t>违法行为的</w:t>
      </w:r>
      <w:r>
        <w:rPr>
          <w:rFonts w:hint="eastAsia" w:ascii="Times New Roman" w:hAnsi="Times New Roman" w:eastAsia="仿宋_GB2312" w:cs="Times New Roman"/>
          <w:color w:val="000000"/>
          <w:sz w:val="32"/>
          <w:szCs w:val="32"/>
          <w:highlight w:val="none"/>
          <w:shd w:val="clear" w:color="auto" w:fill="FFFFFF"/>
        </w:rPr>
        <w:t>，</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不予重复奖励。</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六、“</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向市场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监督管理</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部门提供</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的</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食品安全</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违法行为</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线索</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，属于</w:t>
      </w:r>
      <w:bookmarkStart w:id="0" w:name="_GoBack"/>
      <w:bookmarkEnd w:id="0"/>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违法行为隐蔽性强、</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危害程度大、社会影响广</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等重大违法行为的，或</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避免重大食品安全违法行为发生、消除重大食品安全隐患</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协助查处重大食品安全违法犯罪案件</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的，负责调查处理的市场监督管理部门在征得本级人民政府财政部门同意的情况下，可适当提高奖励标准。</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每起案件的举报奖励金额上限按《办法》规定为100万元。单笔奖励金额达到50万元以上（含50万元）的，由发放举报奖励资金的市场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监督管理</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部门商本级</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人民</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政府财政部门确定。</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七、</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市场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监督管理</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部门应当优化、简化</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奖励资金</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审核发放流程，减少获取</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不必要的个人信息。</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”应当配合提供必要的个人信息。“</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”对奖励</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发放方式有特殊要求的，可以酌情考虑。</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八、</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市场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监督管理</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部门应向社会公开举报奖励的有关规定</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举报的途径和渠道</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，并指导企业在其生产经营场所醒目位置进行公示。</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九、市场监督管理部门应当采取措施加强对</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“吹哨人”个人信息</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的保护</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未经“吹哨人”同意，不得以任何方式泄露“吹哨人”身份信息、举报内容和举报奖励等相关情况。</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对</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个人信息的管理，按照《办法》第二十一条执行。</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十、</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企业不得以解除、变更劳动合同或者其他方式对</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进行打击报复</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，出现以上行为的，应依法承担相应责任</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十一、企业可结合实际情况建立食品安全问题内部化解机制，鼓励内部员工反映食品安全风险问题，推动食品质量安全水平提升。食品生产经营企业应当建立完善“日管控、周排查、月调度”工作机制，企业主要负责人、食品安全总监、食品安全员应当落实食品安全管理责任，及时组织研判、核实相关问题，</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对查证属实的，应当及时整改，</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并可视情况对反映食品安全问题的内部员工</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给予</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一定</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奖励。</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十二、“</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吹哨人</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对举报内容的真实性负责</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不得</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提供虚假、</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伪造证据</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谎报案情、故意干扰办案程序。对伪造材料、隐瞒事实等恶意举报</w:t>
      </w: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或者弄虚作假骗取奖励资金的</w:t>
      </w:r>
      <w:r>
        <w:rPr>
          <w:rFonts w:hint="default" w:ascii="Times New Roman" w:hAnsi="Times New Roman" w:eastAsia="仿宋_GB2312" w:cs="Times New Roman"/>
          <w:i w:val="0"/>
          <w:iCs w:val="0"/>
          <w:caps w:val="0"/>
          <w:color w:val="000000"/>
          <w:spacing w:val="0"/>
          <w:sz w:val="32"/>
          <w:szCs w:val="32"/>
          <w:highlight w:val="none"/>
          <w:shd w:val="clear" w:color="auto" w:fill="FFFFFF"/>
          <w:lang w:val="en-US" w:eastAsia="zh-CN"/>
        </w:rPr>
        <w:t>，按照《办法》第二十三条处理。</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94" w:lineRule="exact"/>
        <w:ind w:firstLine="640" w:firstLineChars="200"/>
        <w:jc w:val="left"/>
        <w:textAlignment w:val="auto"/>
        <w:rPr>
          <w:rFonts w:hint="default"/>
          <w:lang w:val="en-US" w:eastAsia="zh-CN"/>
        </w:rPr>
      </w:pPr>
      <w:r>
        <w:rPr>
          <w:rFonts w:hint="eastAsia" w:ascii="Times New Roman" w:hAnsi="Times New Roman" w:eastAsia="仿宋_GB2312" w:cs="Times New Roman"/>
          <w:i w:val="0"/>
          <w:iCs w:val="0"/>
          <w:caps w:val="0"/>
          <w:color w:val="000000"/>
          <w:spacing w:val="0"/>
          <w:sz w:val="32"/>
          <w:szCs w:val="32"/>
          <w:highlight w:val="none"/>
          <w:shd w:val="clear" w:color="auto" w:fill="FFFFFF"/>
          <w:lang w:val="en-US" w:eastAsia="zh-CN"/>
        </w:rPr>
        <w:t>本《公告》自发布之日起实施，对其他食品生产经营者内部员工和相关知情人举报实施奖励可参照执行。</w:t>
      </w:r>
    </w:p>
    <w:p>
      <w:pPr>
        <w:tabs>
          <w:tab w:val="left" w:pos="1857"/>
        </w:tabs>
        <w:rPr>
          <w:rFonts w:hint="eastAsia"/>
          <w:lang w:eastAsia="zh-CN"/>
        </w:rPr>
      </w:pPr>
    </w:p>
    <w:p>
      <w:pPr>
        <w:tabs>
          <w:tab w:val="left" w:pos="1857"/>
        </w:tabs>
        <w:rPr>
          <w:rFonts w:hint="eastAsia"/>
          <w:lang w:eastAsia="zh-CN"/>
        </w:rPr>
      </w:pPr>
    </w:p>
    <w:p>
      <w:pPr>
        <w:tabs>
          <w:tab w:val="left" w:pos="1857"/>
        </w:tabs>
        <w:rPr>
          <w:rFonts w:hint="eastAsia"/>
          <w:lang w:eastAsia="zh-CN"/>
        </w:rPr>
      </w:pPr>
    </w:p>
    <w:p>
      <w:pPr>
        <w:tabs>
          <w:tab w:val="left" w:pos="1857"/>
        </w:tabs>
        <w:rPr>
          <w:rFonts w:hint="eastAsia"/>
          <w:lang w:eastAsia="zh-CN"/>
        </w:rPr>
      </w:pPr>
    </w:p>
    <w:p>
      <w:pPr>
        <w:tabs>
          <w:tab w:val="left" w:pos="1857"/>
        </w:tabs>
        <w:rPr>
          <w:rFonts w:hint="eastAsia"/>
          <w:lang w:eastAsia="zh-CN"/>
        </w:rPr>
      </w:pPr>
    </w:p>
    <w:p>
      <w:pPr>
        <w:tabs>
          <w:tab w:val="left" w:pos="1857"/>
        </w:tabs>
        <w:rPr>
          <w:rFonts w:hint="eastAsia" w:eastAsia="宋体"/>
          <w:lang w:eastAsia="zh-C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9432D"/>
    <w:rsid w:val="06C2319E"/>
    <w:rsid w:val="08430A28"/>
    <w:rsid w:val="0946056F"/>
    <w:rsid w:val="0A4F577A"/>
    <w:rsid w:val="0DFE1908"/>
    <w:rsid w:val="0F763FDF"/>
    <w:rsid w:val="1C2C306A"/>
    <w:rsid w:val="26DF2132"/>
    <w:rsid w:val="28AB628E"/>
    <w:rsid w:val="297979AA"/>
    <w:rsid w:val="29CB2E58"/>
    <w:rsid w:val="2AE23FCA"/>
    <w:rsid w:val="2CAA571A"/>
    <w:rsid w:val="305D1C3C"/>
    <w:rsid w:val="30A131A2"/>
    <w:rsid w:val="30E564D6"/>
    <w:rsid w:val="376D4210"/>
    <w:rsid w:val="38DE11FC"/>
    <w:rsid w:val="394224A4"/>
    <w:rsid w:val="48AC3602"/>
    <w:rsid w:val="4C667840"/>
    <w:rsid w:val="4F853856"/>
    <w:rsid w:val="500027B0"/>
    <w:rsid w:val="58186D58"/>
    <w:rsid w:val="58481F8A"/>
    <w:rsid w:val="58A75A0F"/>
    <w:rsid w:val="5B373D49"/>
    <w:rsid w:val="5F8E2DC1"/>
    <w:rsid w:val="6397051D"/>
    <w:rsid w:val="65022901"/>
    <w:rsid w:val="662D4627"/>
    <w:rsid w:val="66D97281"/>
    <w:rsid w:val="6F5064AB"/>
    <w:rsid w:val="7075500C"/>
    <w:rsid w:val="71DF6EFA"/>
    <w:rsid w:val="745B2E21"/>
    <w:rsid w:val="7D911210"/>
    <w:rsid w:val="B7FF5C26"/>
    <w:rsid w:val="BEFFB622"/>
    <w:rsid w:val="EBE79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1387</Words>
  <Characters>1394</Characters>
  <Lines>0</Lines>
  <Paragraphs>0</Paragraphs>
  <TotalTime>61</TotalTime>
  <ScaleCrop>false</ScaleCrop>
  <LinksUpToDate>false</LinksUpToDate>
  <CharactersWithSpaces>1394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2024-01-12T17:47:00Z</dcterms:created>
  <dc:creator>Administrator</dc:creator>
  <cp:lastModifiedBy>刘红涛</cp:lastModifiedBy>
  <cp:lastPrinted>2024-02-08T02:17:30Z</cp:lastPrinted>
  <dcterms:modified xsi:type="dcterms:W3CDTF">2024-02-08T03:04:27Z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