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2CCC" w14:textId="77777777" w:rsidR="00094095" w:rsidRPr="00474D20" w:rsidRDefault="00094095" w:rsidP="002E5CA0">
      <w:pPr>
        <w:widowControl/>
        <w:spacing w:after="240"/>
        <w:jc w:val="center"/>
        <w:rPr>
          <w:rFonts w:ascii="Times New Roman" w:eastAsia="黑体" w:hAnsi="Times New Roman"/>
          <w:bCs/>
          <w:kern w:val="0"/>
          <w:sz w:val="36"/>
          <w:szCs w:val="36"/>
          <w:lang w:val="en-GB" w:bidi="ar-AE"/>
        </w:rPr>
      </w:pPr>
      <w:r w:rsidRPr="00474D20">
        <w:rPr>
          <w:rFonts w:ascii="Times New Roman" w:eastAsia="黑体" w:hAnsi="Times New Roman"/>
          <w:bCs/>
          <w:kern w:val="0"/>
          <w:sz w:val="36"/>
          <w:szCs w:val="36"/>
          <w:lang w:val="en-GB" w:bidi="ar-AE"/>
        </w:rPr>
        <w:t>经营者集中简易案件公示表</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92"/>
        <w:gridCol w:w="5321"/>
      </w:tblGrid>
      <w:tr w:rsidR="00D73A38" w:rsidRPr="00474D20" w14:paraId="4D42BED9" w14:textId="77777777" w:rsidTr="002E5CA0">
        <w:tc>
          <w:tcPr>
            <w:tcW w:w="1985" w:type="dxa"/>
            <w:shd w:val="clear" w:color="auto" w:fill="D9D9D9"/>
            <w:vAlign w:val="center"/>
          </w:tcPr>
          <w:p w14:paraId="3EF0B65B" w14:textId="77777777" w:rsidR="00266A6B" w:rsidRPr="005368A9" w:rsidRDefault="00266A6B" w:rsidP="00FB7045">
            <w:pPr>
              <w:rPr>
                <w:rFonts w:ascii="Times New Roman" w:hAnsi="Times New Roman"/>
                <w:b/>
                <w:bCs/>
                <w:sz w:val="24"/>
                <w:szCs w:val="24"/>
              </w:rPr>
            </w:pPr>
            <w:r w:rsidRPr="005368A9">
              <w:rPr>
                <w:rFonts w:ascii="Times New Roman" w:hAnsi="Times New Roman"/>
                <w:b/>
                <w:bCs/>
                <w:sz w:val="24"/>
                <w:szCs w:val="24"/>
              </w:rPr>
              <w:t>案件名称</w:t>
            </w:r>
          </w:p>
        </w:tc>
        <w:tc>
          <w:tcPr>
            <w:tcW w:w="7513" w:type="dxa"/>
            <w:gridSpan w:val="2"/>
            <w:shd w:val="clear" w:color="auto" w:fill="auto"/>
            <w:vAlign w:val="center"/>
          </w:tcPr>
          <w:p w14:paraId="339098CD" w14:textId="7800E961" w:rsidR="00266A6B" w:rsidRPr="00474D20" w:rsidRDefault="00203C46" w:rsidP="0052375D">
            <w:pPr>
              <w:rPr>
                <w:rFonts w:ascii="Times New Roman" w:hAnsi="Times New Roman"/>
                <w:sz w:val="24"/>
                <w:szCs w:val="24"/>
              </w:rPr>
            </w:pPr>
            <w:r w:rsidRPr="00203C46">
              <w:rPr>
                <w:rFonts w:ascii="Times New Roman" w:hAnsi="Times New Roman" w:hint="eastAsia"/>
                <w:sz w:val="24"/>
                <w:szCs w:val="24"/>
                <w:lang w:val="en-GB"/>
              </w:rPr>
              <w:t>梅赛德斯</w:t>
            </w:r>
            <w:r w:rsidRPr="00203C46">
              <w:rPr>
                <w:rFonts w:ascii="Times New Roman" w:hAnsi="Times New Roman" w:hint="eastAsia"/>
                <w:sz w:val="24"/>
                <w:szCs w:val="24"/>
                <w:lang w:val="en-GB"/>
              </w:rPr>
              <w:t>-</w:t>
            </w:r>
            <w:r w:rsidRPr="00203C46">
              <w:rPr>
                <w:rFonts w:ascii="Times New Roman" w:hAnsi="Times New Roman" w:hint="eastAsia"/>
                <w:sz w:val="24"/>
                <w:szCs w:val="24"/>
                <w:lang w:val="en-GB"/>
              </w:rPr>
              <w:t>奔驰股份公司与标致雪铁龙汽车公司等经营者收购汽车电池公司股权案</w:t>
            </w:r>
          </w:p>
        </w:tc>
      </w:tr>
      <w:tr w:rsidR="00D73A38" w:rsidRPr="00474D20" w14:paraId="0DDDC025" w14:textId="77777777" w:rsidTr="008252A2">
        <w:trPr>
          <w:trHeight w:val="2322"/>
        </w:trPr>
        <w:tc>
          <w:tcPr>
            <w:tcW w:w="1985" w:type="dxa"/>
            <w:shd w:val="clear" w:color="auto" w:fill="D9D9D9"/>
            <w:vAlign w:val="center"/>
          </w:tcPr>
          <w:p w14:paraId="14A06486" w14:textId="77777777" w:rsidR="00266A6B" w:rsidRPr="005368A9" w:rsidRDefault="00266A6B" w:rsidP="00FB7045">
            <w:pPr>
              <w:rPr>
                <w:rFonts w:ascii="Times New Roman" w:hAnsi="Times New Roman"/>
                <w:b/>
                <w:bCs/>
                <w:sz w:val="24"/>
                <w:szCs w:val="24"/>
              </w:rPr>
            </w:pPr>
            <w:r w:rsidRPr="005368A9">
              <w:rPr>
                <w:rFonts w:ascii="Times New Roman" w:hAnsi="Times New Roman"/>
                <w:b/>
                <w:bCs/>
                <w:sz w:val="24"/>
                <w:szCs w:val="24"/>
              </w:rPr>
              <w:t>交易概况（限</w:t>
            </w:r>
            <w:r w:rsidRPr="005368A9">
              <w:rPr>
                <w:rFonts w:ascii="Times New Roman" w:hAnsi="Times New Roman"/>
                <w:b/>
                <w:bCs/>
                <w:sz w:val="24"/>
                <w:szCs w:val="24"/>
              </w:rPr>
              <w:t>200</w:t>
            </w:r>
            <w:r w:rsidRPr="005368A9">
              <w:rPr>
                <w:rFonts w:ascii="Times New Roman" w:hAnsi="Times New Roman"/>
                <w:b/>
                <w:bCs/>
                <w:sz w:val="24"/>
                <w:szCs w:val="24"/>
              </w:rPr>
              <w:t>字内）</w:t>
            </w:r>
          </w:p>
        </w:tc>
        <w:tc>
          <w:tcPr>
            <w:tcW w:w="7513" w:type="dxa"/>
            <w:gridSpan w:val="2"/>
          </w:tcPr>
          <w:p w14:paraId="683D2C6A" w14:textId="7E1822E3" w:rsidR="003335C6" w:rsidRPr="006768FF" w:rsidRDefault="006768FF" w:rsidP="008044D7">
            <w:pPr>
              <w:rPr>
                <w:rFonts w:ascii="Times New Roman" w:hAnsi="Times New Roman"/>
                <w:color w:val="000000"/>
                <w:sz w:val="24"/>
                <w:szCs w:val="24"/>
              </w:rPr>
            </w:pPr>
            <w:r w:rsidRPr="006768FF">
              <w:rPr>
                <w:rFonts w:ascii="Times New Roman" w:hAnsi="Times New Roman" w:hint="eastAsia"/>
                <w:color w:val="000000"/>
                <w:sz w:val="24"/>
                <w:szCs w:val="24"/>
              </w:rPr>
              <w:t>Stellantis N.V.</w:t>
            </w:r>
            <w:r w:rsidRPr="006768FF">
              <w:rPr>
                <w:rFonts w:ascii="Times New Roman" w:hAnsi="Times New Roman" w:hint="eastAsia"/>
                <w:color w:val="000000"/>
                <w:sz w:val="24"/>
                <w:szCs w:val="24"/>
              </w:rPr>
              <w:t>（“</w:t>
            </w:r>
            <w:r w:rsidRPr="006768FF">
              <w:rPr>
                <w:rFonts w:ascii="Times New Roman" w:hAnsi="Times New Roman" w:hint="eastAsia"/>
                <w:color w:val="000000"/>
                <w:sz w:val="24"/>
                <w:szCs w:val="24"/>
              </w:rPr>
              <w:t>Stellantis</w:t>
            </w:r>
            <w:r w:rsidRPr="006768FF">
              <w:rPr>
                <w:rFonts w:ascii="Times New Roman" w:hAnsi="Times New Roman" w:hint="eastAsia"/>
                <w:color w:val="000000"/>
                <w:sz w:val="24"/>
                <w:szCs w:val="24"/>
              </w:rPr>
              <w:t>”，通过标致雪铁龙汽车公司和欧宝汽车公司）、梅赛德</w:t>
            </w:r>
            <w:r w:rsidRPr="008252A2">
              <w:rPr>
                <w:rFonts w:ascii="Times New Roman" w:hAnsi="Times New Roman" w:hint="eastAsia"/>
                <w:sz w:val="24"/>
                <w:szCs w:val="24"/>
              </w:rPr>
              <w:t>斯</w:t>
            </w:r>
            <w:r w:rsidRPr="008252A2">
              <w:rPr>
                <w:rFonts w:ascii="Times New Roman" w:hAnsi="Times New Roman" w:hint="eastAsia"/>
                <w:sz w:val="24"/>
                <w:szCs w:val="24"/>
              </w:rPr>
              <w:t>-</w:t>
            </w:r>
            <w:r w:rsidRPr="008252A2">
              <w:rPr>
                <w:rFonts w:ascii="Times New Roman" w:hAnsi="Times New Roman" w:hint="eastAsia"/>
                <w:sz w:val="24"/>
                <w:szCs w:val="24"/>
              </w:rPr>
              <w:t>奔驰股份公司（“梅</w:t>
            </w:r>
            <w:r w:rsidRPr="006768FF">
              <w:rPr>
                <w:rFonts w:ascii="Times New Roman" w:hAnsi="Times New Roman" w:hint="eastAsia"/>
                <w:color w:val="000000"/>
                <w:sz w:val="24"/>
                <w:szCs w:val="24"/>
              </w:rPr>
              <w:t>赛德斯</w:t>
            </w:r>
            <w:r w:rsidRPr="006768FF">
              <w:rPr>
                <w:rFonts w:ascii="Times New Roman" w:hAnsi="Times New Roman" w:hint="eastAsia"/>
                <w:color w:val="000000"/>
                <w:sz w:val="24"/>
                <w:szCs w:val="24"/>
              </w:rPr>
              <w:t>-</w:t>
            </w:r>
            <w:r w:rsidRPr="006768FF">
              <w:rPr>
                <w:rFonts w:ascii="Times New Roman" w:hAnsi="Times New Roman" w:hint="eastAsia"/>
                <w:color w:val="000000"/>
                <w:sz w:val="24"/>
                <w:szCs w:val="24"/>
              </w:rPr>
              <w:t>奔驰”）和帅福得电动车公司（“帅福得”）</w:t>
            </w:r>
            <w:r>
              <w:rPr>
                <w:rFonts w:ascii="Times New Roman" w:hAnsi="Times New Roman" w:hint="eastAsia"/>
                <w:color w:val="000000"/>
                <w:sz w:val="24"/>
                <w:szCs w:val="24"/>
              </w:rPr>
              <w:t>签署</w:t>
            </w:r>
            <w:r w:rsidR="0024276A">
              <w:rPr>
                <w:rFonts w:ascii="Times New Roman" w:hAnsi="Times New Roman" w:hint="eastAsia"/>
                <w:color w:val="000000"/>
                <w:sz w:val="24"/>
                <w:szCs w:val="24"/>
              </w:rPr>
              <w:t>协议，</w:t>
            </w:r>
            <w:r w:rsidRPr="006768FF">
              <w:rPr>
                <w:rFonts w:ascii="Times New Roman" w:hAnsi="Times New Roman" w:hint="eastAsia"/>
                <w:color w:val="000000"/>
                <w:sz w:val="24"/>
                <w:szCs w:val="24"/>
              </w:rPr>
              <w:t>Stellantis</w:t>
            </w:r>
            <w:r w:rsidRPr="006768FF">
              <w:rPr>
                <w:rFonts w:ascii="Times New Roman" w:hAnsi="Times New Roman" w:hint="eastAsia"/>
                <w:color w:val="000000"/>
                <w:sz w:val="24"/>
                <w:szCs w:val="24"/>
              </w:rPr>
              <w:t>和梅赛德斯</w:t>
            </w:r>
            <w:r w:rsidRPr="006768FF">
              <w:rPr>
                <w:rFonts w:ascii="Times New Roman" w:hAnsi="Times New Roman" w:hint="eastAsia"/>
                <w:color w:val="000000"/>
                <w:sz w:val="24"/>
                <w:szCs w:val="24"/>
              </w:rPr>
              <w:t>-</w:t>
            </w:r>
            <w:r w:rsidRPr="006768FF">
              <w:rPr>
                <w:rFonts w:ascii="Times New Roman" w:hAnsi="Times New Roman" w:hint="eastAsia"/>
                <w:color w:val="000000"/>
                <w:sz w:val="24"/>
                <w:szCs w:val="24"/>
              </w:rPr>
              <w:t>奔驰进行注资</w:t>
            </w:r>
            <w:r>
              <w:rPr>
                <w:rFonts w:ascii="Times New Roman" w:hAnsi="Times New Roman" w:hint="eastAsia"/>
                <w:color w:val="000000"/>
                <w:sz w:val="24"/>
                <w:szCs w:val="24"/>
              </w:rPr>
              <w:t>，将</w:t>
            </w:r>
            <w:r w:rsidRPr="006768FF">
              <w:rPr>
                <w:rFonts w:ascii="Times New Roman" w:hAnsi="Times New Roman" w:hint="eastAsia"/>
                <w:color w:val="000000"/>
                <w:sz w:val="24"/>
                <w:szCs w:val="24"/>
              </w:rPr>
              <w:t>帅福得在汽车电池公司</w:t>
            </w:r>
            <w:r>
              <w:rPr>
                <w:rFonts w:ascii="Times New Roman" w:hAnsi="Times New Roman" w:hint="eastAsia"/>
                <w:color w:val="000000"/>
                <w:sz w:val="24"/>
                <w:szCs w:val="24"/>
              </w:rPr>
              <w:t>（“</w:t>
            </w:r>
            <w:r w:rsidR="009A3691">
              <w:rPr>
                <w:rFonts w:ascii="Times New Roman" w:hAnsi="Times New Roman" w:hint="eastAsia"/>
                <w:color w:val="000000"/>
                <w:sz w:val="24"/>
                <w:szCs w:val="24"/>
              </w:rPr>
              <w:t>目标公司</w:t>
            </w:r>
            <w:r>
              <w:rPr>
                <w:rFonts w:ascii="Times New Roman" w:hAnsi="Times New Roman" w:hint="eastAsia"/>
                <w:color w:val="000000"/>
                <w:sz w:val="24"/>
                <w:szCs w:val="24"/>
              </w:rPr>
              <w:t>”）</w:t>
            </w:r>
            <w:r w:rsidRPr="006768FF">
              <w:rPr>
                <w:rFonts w:ascii="Times New Roman" w:hAnsi="Times New Roman" w:hint="eastAsia"/>
                <w:color w:val="000000"/>
                <w:sz w:val="24"/>
                <w:szCs w:val="24"/>
              </w:rPr>
              <w:t>的持股比例稀释</w:t>
            </w:r>
            <w:r>
              <w:rPr>
                <w:rFonts w:ascii="Times New Roman" w:hAnsi="Times New Roman" w:hint="eastAsia"/>
                <w:color w:val="000000"/>
                <w:sz w:val="24"/>
                <w:szCs w:val="24"/>
              </w:rPr>
              <w:t>至</w:t>
            </w:r>
            <w:r>
              <w:rPr>
                <w:rFonts w:ascii="Times New Roman" w:hAnsi="Times New Roman" w:hint="eastAsia"/>
                <w:color w:val="000000"/>
                <w:sz w:val="24"/>
                <w:szCs w:val="24"/>
              </w:rPr>
              <w:t>2</w:t>
            </w:r>
            <w:r>
              <w:rPr>
                <w:rFonts w:ascii="Times New Roman" w:hAnsi="Times New Roman"/>
                <w:color w:val="000000"/>
                <w:sz w:val="24"/>
                <w:szCs w:val="24"/>
              </w:rPr>
              <w:t>5</w:t>
            </w:r>
            <w:r>
              <w:rPr>
                <w:rFonts w:ascii="Times New Roman" w:hAnsi="Times New Roman" w:hint="eastAsia"/>
                <w:color w:val="000000"/>
                <w:sz w:val="24"/>
                <w:szCs w:val="24"/>
              </w:rPr>
              <w:t>%</w:t>
            </w:r>
            <w:r>
              <w:rPr>
                <w:rFonts w:ascii="Times New Roman" w:hAnsi="Times New Roman" w:hint="eastAsia"/>
                <w:color w:val="000000"/>
                <w:sz w:val="24"/>
                <w:szCs w:val="24"/>
              </w:rPr>
              <w:t>以下。</w:t>
            </w:r>
            <w:r w:rsidR="00DB7B34">
              <w:rPr>
                <w:rFonts w:ascii="Times New Roman" w:hAnsi="Times New Roman" w:hint="eastAsia"/>
                <w:sz w:val="24"/>
                <w:szCs w:val="24"/>
              </w:rPr>
              <w:t>目标公司从事</w:t>
            </w:r>
            <w:r w:rsidR="0091013F" w:rsidRPr="0091013F">
              <w:rPr>
                <w:rFonts w:ascii="Times New Roman" w:hAnsi="Times New Roman" w:hint="eastAsia"/>
                <w:sz w:val="24"/>
                <w:szCs w:val="24"/>
              </w:rPr>
              <w:t>电动汽车</w:t>
            </w:r>
            <w:r w:rsidR="0091013F">
              <w:rPr>
                <w:rFonts w:ascii="Times New Roman" w:hAnsi="Times New Roman" w:hint="eastAsia"/>
                <w:sz w:val="24"/>
                <w:szCs w:val="24"/>
              </w:rPr>
              <w:t>用</w:t>
            </w:r>
            <w:r w:rsidR="0091013F" w:rsidRPr="0091013F">
              <w:rPr>
                <w:rFonts w:ascii="Times New Roman" w:hAnsi="Times New Roman" w:hint="eastAsia"/>
                <w:sz w:val="24"/>
                <w:szCs w:val="24"/>
              </w:rPr>
              <w:t>锂离子动力电池业务</w:t>
            </w:r>
            <w:r w:rsidR="00DB7B34">
              <w:rPr>
                <w:rFonts w:ascii="Times New Roman" w:hAnsi="Times New Roman" w:hint="eastAsia"/>
                <w:sz w:val="24"/>
                <w:szCs w:val="24"/>
              </w:rPr>
              <w:t>。</w:t>
            </w:r>
            <w:r w:rsidR="00203C46" w:rsidRPr="00203C46">
              <w:rPr>
                <w:rFonts w:ascii="Times New Roman" w:hAnsi="Times New Roman" w:hint="eastAsia"/>
                <w:sz w:val="24"/>
                <w:szCs w:val="24"/>
              </w:rPr>
              <w:t>交易前，</w:t>
            </w:r>
            <w:r w:rsidR="0091013F">
              <w:rPr>
                <w:rFonts w:ascii="Times New Roman" w:hAnsi="Times New Roman" w:hint="eastAsia"/>
                <w:sz w:val="24"/>
                <w:szCs w:val="24"/>
              </w:rPr>
              <w:t>梅赛德斯</w:t>
            </w:r>
            <w:r w:rsidR="0091013F">
              <w:rPr>
                <w:rFonts w:ascii="Times New Roman" w:hAnsi="Times New Roman" w:hint="eastAsia"/>
                <w:sz w:val="24"/>
                <w:szCs w:val="24"/>
              </w:rPr>
              <w:t>-</w:t>
            </w:r>
            <w:r w:rsidR="0091013F">
              <w:rPr>
                <w:rFonts w:ascii="Times New Roman" w:hAnsi="Times New Roman" w:hint="eastAsia"/>
                <w:sz w:val="24"/>
                <w:szCs w:val="24"/>
              </w:rPr>
              <w:t>奔驰</w:t>
            </w:r>
            <w:r w:rsidR="008252A2">
              <w:rPr>
                <w:rFonts w:ascii="Times New Roman" w:hAnsi="Times New Roman" w:hint="eastAsia"/>
                <w:sz w:val="24"/>
                <w:szCs w:val="24"/>
              </w:rPr>
              <w:t>、</w:t>
            </w:r>
            <w:r w:rsidR="008252A2">
              <w:rPr>
                <w:rFonts w:ascii="Times New Roman" w:hAnsi="Times New Roman" w:hint="eastAsia"/>
                <w:sz w:val="24"/>
                <w:szCs w:val="24"/>
              </w:rPr>
              <w:t>Stellantis</w:t>
            </w:r>
            <w:r w:rsidR="008252A2">
              <w:rPr>
                <w:rFonts w:ascii="Times New Roman" w:hAnsi="Times New Roman" w:hint="eastAsia"/>
                <w:sz w:val="24"/>
                <w:szCs w:val="24"/>
              </w:rPr>
              <w:t>（通过标致雪铁龙和欧宝汽车，二者各持有</w:t>
            </w:r>
            <w:r w:rsidR="008252A2">
              <w:rPr>
                <w:rFonts w:ascii="Times New Roman" w:hAnsi="Times New Roman" w:hint="eastAsia"/>
                <w:sz w:val="24"/>
                <w:szCs w:val="24"/>
              </w:rPr>
              <w:t>1/</w:t>
            </w:r>
            <w:r w:rsidR="008252A2">
              <w:rPr>
                <w:rFonts w:ascii="Times New Roman" w:hAnsi="Times New Roman"/>
                <w:sz w:val="24"/>
                <w:szCs w:val="24"/>
              </w:rPr>
              <w:t>6</w:t>
            </w:r>
            <w:r w:rsidR="008252A2">
              <w:rPr>
                <w:rFonts w:ascii="Times New Roman" w:hAnsi="Times New Roman" w:hint="eastAsia"/>
                <w:sz w:val="24"/>
                <w:szCs w:val="24"/>
              </w:rPr>
              <w:t>的股权）和</w:t>
            </w:r>
            <w:r w:rsidR="0091013F">
              <w:rPr>
                <w:rFonts w:ascii="Times New Roman" w:hAnsi="Times New Roman" w:hint="eastAsia"/>
                <w:sz w:val="24"/>
                <w:szCs w:val="24"/>
              </w:rPr>
              <w:t>帅福得各持有</w:t>
            </w:r>
            <w:r w:rsidR="00203C46">
              <w:rPr>
                <w:rFonts w:ascii="Times New Roman" w:hAnsi="Times New Roman" w:hint="eastAsia"/>
                <w:sz w:val="24"/>
                <w:szCs w:val="24"/>
              </w:rPr>
              <w:t>目标公司</w:t>
            </w:r>
            <w:r w:rsidR="0091013F" w:rsidRPr="0091013F">
              <w:rPr>
                <w:rFonts w:ascii="Times New Roman" w:hAnsi="Times New Roman" w:hint="eastAsia"/>
                <w:sz w:val="24"/>
                <w:szCs w:val="24"/>
              </w:rPr>
              <w:t>1/3</w:t>
            </w:r>
            <w:r w:rsidR="0091013F" w:rsidRPr="0091013F">
              <w:rPr>
                <w:rFonts w:ascii="Times New Roman" w:hAnsi="Times New Roman" w:hint="eastAsia"/>
                <w:sz w:val="24"/>
                <w:szCs w:val="24"/>
              </w:rPr>
              <w:t>的股</w:t>
            </w:r>
            <w:r w:rsidR="0091013F">
              <w:rPr>
                <w:rFonts w:ascii="Times New Roman" w:hAnsi="Times New Roman" w:hint="eastAsia"/>
                <w:sz w:val="24"/>
                <w:szCs w:val="24"/>
              </w:rPr>
              <w:t>权</w:t>
            </w:r>
            <w:r w:rsidR="008252A2">
              <w:rPr>
                <w:rFonts w:ascii="Times New Roman" w:hAnsi="Times New Roman" w:hint="eastAsia"/>
                <w:sz w:val="24"/>
                <w:szCs w:val="24"/>
              </w:rPr>
              <w:t>，目标公司由</w:t>
            </w:r>
            <w:r w:rsidR="008252A2" w:rsidRPr="00203C46">
              <w:rPr>
                <w:rFonts w:ascii="Times New Roman" w:hAnsi="Times New Roman" w:hint="eastAsia"/>
                <w:sz w:val="24"/>
                <w:szCs w:val="24"/>
              </w:rPr>
              <w:t>梅赛德斯</w:t>
            </w:r>
            <w:r w:rsidR="008252A2" w:rsidRPr="00203C46">
              <w:rPr>
                <w:rFonts w:ascii="Times New Roman" w:hAnsi="Times New Roman" w:hint="eastAsia"/>
                <w:sz w:val="24"/>
                <w:szCs w:val="24"/>
              </w:rPr>
              <w:t>-</w:t>
            </w:r>
            <w:r w:rsidR="008252A2" w:rsidRPr="00203C46">
              <w:rPr>
                <w:rFonts w:ascii="Times New Roman" w:hAnsi="Times New Roman" w:hint="eastAsia"/>
                <w:sz w:val="24"/>
                <w:szCs w:val="24"/>
              </w:rPr>
              <w:t>奔驰</w:t>
            </w:r>
            <w:r w:rsidR="008252A2">
              <w:rPr>
                <w:rFonts w:ascii="Times New Roman" w:hAnsi="Times New Roman" w:hint="eastAsia"/>
                <w:sz w:val="24"/>
                <w:szCs w:val="24"/>
              </w:rPr>
              <w:t>、</w:t>
            </w:r>
            <w:r w:rsidR="008252A2" w:rsidRPr="00203C46">
              <w:rPr>
                <w:rFonts w:ascii="Times New Roman" w:hAnsi="Times New Roman" w:hint="eastAsia"/>
                <w:sz w:val="24"/>
                <w:szCs w:val="24"/>
              </w:rPr>
              <w:t>Stellantis</w:t>
            </w:r>
            <w:r w:rsidR="008252A2">
              <w:rPr>
                <w:rFonts w:ascii="Times New Roman" w:hAnsi="Times New Roman" w:hint="eastAsia"/>
                <w:sz w:val="24"/>
                <w:szCs w:val="24"/>
              </w:rPr>
              <w:t>（通过标</w:t>
            </w:r>
            <w:r w:rsidR="008252A2" w:rsidRPr="006768FF">
              <w:rPr>
                <w:rFonts w:ascii="Times New Roman" w:hAnsi="Times New Roman" w:hint="eastAsia"/>
                <w:color w:val="000000"/>
                <w:sz w:val="24"/>
                <w:szCs w:val="24"/>
              </w:rPr>
              <w:t>致</w:t>
            </w:r>
            <w:r w:rsidR="008252A2">
              <w:rPr>
                <w:rFonts w:ascii="Times New Roman" w:hAnsi="Times New Roman" w:hint="eastAsia"/>
                <w:sz w:val="24"/>
                <w:szCs w:val="24"/>
              </w:rPr>
              <w:t>雪铁龙和欧宝汽车）</w:t>
            </w:r>
            <w:r w:rsidR="008252A2">
              <w:rPr>
                <w:rFonts w:ascii="Times New Roman" w:hAnsi="Times New Roman" w:hint="eastAsia"/>
                <w:sz w:val="24"/>
                <w:szCs w:val="24"/>
              </w:rPr>
              <w:t>和帅福得共同控制</w:t>
            </w:r>
            <w:r w:rsidR="0091013F">
              <w:rPr>
                <w:rFonts w:ascii="Times New Roman" w:hAnsi="Times New Roman" w:hint="eastAsia"/>
                <w:sz w:val="24"/>
                <w:szCs w:val="24"/>
              </w:rPr>
              <w:t>。</w:t>
            </w:r>
            <w:r w:rsidR="00DB7B34">
              <w:rPr>
                <w:rFonts w:ascii="Times New Roman" w:hAnsi="Times New Roman" w:hint="eastAsia"/>
                <w:sz w:val="24"/>
                <w:szCs w:val="24"/>
              </w:rPr>
              <w:t>交易后</w:t>
            </w:r>
            <w:r w:rsidR="00203C46" w:rsidRPr="00203C46">
              <w:rPr>
                <w:rFonts w:ascii="Times New Roman" w:hAnsi="Times New Roman" w:hint="eastAsia"/>
                <w:sz w:val="24"/>
                <w:szCs w:val="24"/>
              </w:rPr>
              <w:t>，</w:t>
            </w:r>
            <w:r w:rsidR="008252A2">
              <w:rPr>
                <w:rFonts w:ascii="Times New Roman" w:hAnsi="Times New Roman" w:hint="eastAsia"/>
                <w:sz w:val="24"/>
                <w:szCs w:val="24"/>
              </w:rPr>
              <w:t>帅福得在目标公司的持股比例降至</w:t>
            </w:r>
            <w:r w:rsidR="008252A2">
              <w:rPr>
                <w:rFonts w:ascii="Times New Roman" w:hAnsi="Times New Roman" w:hint="eastAsia"/>
                <w:sz w:val="24"/>
                <w:szCs w:val="24"/>
              </w:rPr>
              <w:t>2</w:t>
            </w:r>
            <w:r w:rsidR="008252A2">
              <w:rPr>
                <w:rFonts w:ascii="Times New Roman" w:hAnsi="Times New Roman"/>
                <w:sz w:val="24"/>
                <w:szCs w:val="24"/>
              </w:rPr>
              <w:t>5</w:t>
            </w:r>
            <w:r w:rsidR="008252A2">
              <w:rPr>
                <w:rFonts w:ascii="Times New Roman" w:hAnsi="Times New Roman" w:hint="eastAsia"/>
                <w:sz w:val="24"/>
                <w:szCs w:val="24"/>
              </w:rPr>
              <w:t>%</w:t>
            </w:r>
            <w:r w:rsidR="008252A2">
              <w:rPr>
                <w:rFonts w:ascii="Times New Roman" w:hAnsi="Times New Roman" w:hint="eastAsia"/>
                <w:sz w:val="24"/>
                <w:szCs w:val="24"/>
              </w:rPr>
              <w:t>以下</w:t>
            </w:r>
            <w:r w:rsidR="00203C46" w:rsidRPr="00203C46">
              <w:rPr>
                <w:rFonts w:ascii="Times New Roman" w:hAnsi="Times New Roman" w:hint="eastAsia"/>
                <w:sz w:val="24"/>
                <w:szCs w:val="24"/>
              </w:rPr>
              <w:t>，梅赛德斯</w:t>
            </w:r>
            <w:r w:rsidR="00203C46" w:rsidRPr="00203C46">
              <w:rPr>
                <w:rFonts w:ascii="Times New Roman" w:hAnsi="Times New Roman" w:hint="eastAsia"/>
                <w:sz w:val="24"/>
                <w:szCs w:val="24"/>
              </w:rPr>
              <w:t>-</w:t>
            </w:r>
            <w:r w:rsidR="00203C46" w:rsidRPr="00203C46">
              <w:rPr>
                <w:rFonts w:ascii="Times New Roman" w:hAnsi="Times New Roman" w:hint="eastAsia"/>
                <w:sz w:val="24"/>
                <w:szCs w:val="24"/>
              </w:rPr>
              <w:t>奔驰和</w:t>
            </w:r>
            <w:r w:rsidR="00203C46" w:rsidRPr="00203C46">
              <w:rPr>
                <w:rFonts w:ascii="Times New Roman" w:hAnsi="Times New Roman" w:hint="eastAsia"/>
                <w:sz w:val="24"/>
                <w:szCs w:val="24"/>
              </w:rPr>
              <w:t>Stellantis</w:t>
            </w:r>
            <w:r w:rsidR="005731CB">
              <w:rPr>
                <w:rFonts w:ascii="Times New Roman" w:hAnsi="Times New Roman" w:hint="eastAsia"/>
                <w:sz w:val="24"/>
                <w:szCs w:val="24"/>
              </w:rPr>
              <w:t>（通过标</w:t>
            </w:r>
            <w:r w:rsidR="00610C11" w:rsidRPr="006768FF">
              <w:rPr>
                <w:rFonts w:ascii="Times New Roman" w:hAnsi="Times New Roman" w:hint="eastAsia"/>
                <w:color w:val="000000"/>
                <w:sz w:val="24"/>
                <w:szCs w:val="24"/>
              </w:rPr>
              <w:t>致</w:t>
            </w:r>
            <w:r w:rsidR="005731CB">
              <w:rPr>
                <w:rFonts w:ascii="Times New Roman" w:hAnsi="Times New Roman" w:hint="eastAsia"/>
                <w:sz w:val="24"/>
                <w:szCs w:val="24"/>
              </w:rPr>
              <w:t>雪铁龙和欧宝汽车）</w:t>
            </w:r>
            <w:r w:rsidR="00203C46" w:rsidRPr="00203C46">
              <w:rPr>
                <w:rFonts w:ascii="Times New Roman" w:hAnsi="Times New Roman" w:hint="eastAsia"/>
                <w:sz w:val="24"/>
                <w:szCs w:val="24"/>
              </w:rPr>
              <w:t>共同控制</w:t>
            </w:r>
            <w:r w:rsidR="008252A2">
              <w:rPr>
                <w:rFonts w:ascii="Times New Roman" w:hAnsi="Times New Roman" w:hint="eastAsia"/>
                <w:sz w:val="24"/>
                <w:szCs w:val="24"/>
              </w:rPr>
              <w:t>目标公司</w:t>
            </w:r>
            <w:r w:rsidR="00203C46" w:rsidRPr="00203C46">
              <w:rPr>
                <w:rFonts w:ascii="Times New Roman" w:hAnsi="Times New Roman" w:hint="eastAsia"/>
                <w:sz w:val="24"/>
                <w:szCs w:val="24"/>
              </w:rPr>
              <w:t>。</w:t>
            </w:r>
          </w:p>
        </w:tc>
      </w:tr>
      <w:tr w:rsidR="00AE24A1" w:rsidRPr="00474D20" w14:paraId="687B1CBB" w14:textId="77777777" w:rsidTr="002E5CA0">
        <w:trPr>
          <w:trHeight w:val="988"/>
        </w:trPr>
        <w:tc>
          <w:tcPr>
            <w:tcW w:w="1985" w:type="dxa"/>
            <w:vMerge w:val="restart"/>
            <w:shd w:val="clear" w:color="auto" w:fill="D9D9D9"/>
            <w:vAlign w:val="center"/>
          </w:tcPr>
          <w:p w14:paraId="0F20F28F" w14:textId="77777777" w:rsidR="00AE24A1" w:rsidRPr="005368A9" w:rsidRDefault="00AE24A1" w:rsidP="00FB7045">
            <w:pPr>
              <w:rPr>
                <w:rFonts w:ascii="Times New Roman" w:hAnsi="Times New Roman"/>
                <w:b/>
                <w:bCs/>
                <w:sz w:val="24"/>
                <w:szCs w:val="24"/>
              </w:rPr>
            </w:pPr>
            <w:r w:rsidRPr="005368A9">
              <w:rPr>
                <w:rFonts w:ascii="Times New Roman" w:hAnsi="Times New Roman"/>
                <w:b/>
                <w:bCs/>
                <w:sz w:val="24"/>
                <w:szCs w:val="24"/>
              </w:rPr>
              <w:t>参与集中的经营者简介</w:t>
            </w:r>
          </w:p>
        </w:tc>
        <w:tc>
          <w:tcPr>
            <w:tcW w:w="2192" w:type="dxa"/>
          </w:tcPr>
          <w:p w14:paraId="7E060461" w14:textId="304DAA92" w:rsidR="00AE24A1" w:rsidRPr="00474D20" w:rsidRDefault="00AE24A1" w:rsidP="00FA5A2F">
            <w:pPr>
              <w:pStyle w:val="ad"/>
              <w:numPr>
                <w:ilvl w:val="0"/>
                <w:numId w:val="20"/>
              </w:numPr>
              <w:tabs>
                <w:tab w:val="left" w:pos="651"/>
              </w:tabs>
              <w:spacing w:beforeLines="50" w:before="156" w:afterLines="50" w:after="156"/>
              <w:ind w:firstLineChars="0"/>
              <w:rPr>
                <w:rFonts w:ascii="Times New Roman" w:hAnsi="Times New Roman"/>
                <w:sz w:val="24"/>
                <w:szCs w:val="24"/>
              </w:rPr>
            </w:pPr>
            <w:r w:rsidRPr="00203C46">
              <w:rPr>
                <w:rFonts w:ascii="Times New Roman" w:hAnsi="Times New Roman" w:hint="eastAsia"/>
                <w:sz w:val="24"/>
                <w:szCs w:val="24"/>
                <w:lang w:val="en-GB"/>
              </w:rPr>
              <w:t>梅赛德斯</w:t>
            </w:r>
            <w:r w:rsidRPr="00203C46">
              <w:rPr>
                <w:rFonts w:ascii="Times New Roman" w:hAnsi="Times New Roman" w:hint="eastAsia"/>
                <w:sz w:val="24"/>
                <w:szCs w:val="24"/>
                <w:lang w:val="en-GB"/>
              </w:rPr>
              <w:t>-</w:t>
            </w:r>
            <w:r w:rsidRPr="00203C46">
              <w:rPr>
                <w:rFonts w:ascii="Times New Roman" w:hAnsi="Times New Roman" w:hint="eastAsia"/>
                <w:sz w:val="24"/>
                <w:szCs w:val="24"/>
                <w:lang w:val="en-GB"/>
              </w:rPr>
              <w:t>奔驰</w:t>
            </w:r>
          </w:p>
        </w:tc>
        <w:tc>
          <w:tcPr>
            <w:tcW w:w="5321" w:type="dxa"/>
          </w:tcPr>
          <w:p w14:paraId="6E57D3E2" w14:textId="42C3C7C0" w:rsidR="00AE24A1" w:rsidRPr="008044D7" w:rsidRDefault="00AE24A1" w:rsidP="008044D7">
            <w:pPr>
              <w:widowControl/>
              <w:adjustRightInd w:val="0"/>
              <w:snapToGrid w:val="0"/>
              <w:spacing w:beforeLines="50" w:before="156" w:afterLines="50" w:after="156"/>
              <w:rPr>
                <w:rFonts w:ascii="Times New Roman" w:hAnsi="Times New Roman"/>
                <w:sz w:val="24"/>
                <w:szCs w:val="24"/>
                <w:lang w:val="en-GB"/>
              </w:rPr>
            </w:pPr>
            <w:r w:rsidRPr="00203C46">
              <w:rPr>
                <w:rFonts w:ascii="Times New Roman" w:hAnsi="Times New Roman" w:hint="eastAsia"/>
                <w:sz w:val="24"/>
                <w:szCs w:val="24"/>
                <w:lang w:val="en-GB"/>
              </w:rPr>
              <w:t>梅赛德斯</w:t>
            </w:r>
            <w:r w:rsidRPr="00203C46">
              <w:rPr>
                <w:rFonts w:ascii="Times New Roman" w:hAnsi="Times New Roman" w:hint="eastAsia"/>
                <w:sz w:val="24"/>
                <w:szCs w:val="24"/>
                <w:lang w:val="en-GB"/>
              </w:rPr>
              <w:t>-</w:t>
            </w:r>
            <w:r w:rsidRPr="00203C46">
              <w:rPr>
                <w:rFonts w:ascii="Times New Roman" w:hAnsi="Times New Roman" w:hint="eastAsia"/>
                <w:sz w:val="24"/>
                <w:szCs w:val="24"/>
                <w:lang w:val="en-GB"/>
              </w:rPr>
              <w:t>奔驰</w:t>
            </w:r>
            <w:r w:rsidRPr="008044D7">
              <w:rPr>
                <w:rFonts w:ascii="Times New Roman" w:hAnsi="Times New Roman" w:hint="eastAsia"/>
                <w:sz w:val="24"/>
                <w:szCs w:val="24"/>
                <w:lang w:val="en-GB"/>
              </w:rPr>
              <w:t>于</w:t>
            </w:r>
            <w:r w:rsidRPr="008044D7">
              <w:rPr>
                <w:rFonts w:ascii="Times New Roman" w:hAnsi="Times New Roman" w:hint="eastAsia"/>
                <w:sz w:val="24"/>
                <w:szCs w:val="24"/>
                <w:lang w:val="en-GB"/>
              </w:rPr>
              <w:t>201</w:t>
            </w:r>
            <w:r>
              <w:rPr>
                <w:rFonts w:ascii="Times New Roman" w:hAnsi="Times New Roman"/>
                <w:sz w:val="24"/>
                <w:szCs w:val="24"/>
                <w:lang w:val="en-GB"/>
              </w:rPr>
              <w:t>7</w:t>
            </w:r>
            <w:r w:rsidRPr="008044D7">
              <w:rPr>
                <w:rFonts w:ascii="Times New Roman" w:hAnsi="Times New Roman" w:hint="eastAsia"/>
                <w:sz w:val="24"/>
                <w:szCs w:val="24"/>
                <w:lang w:val="en-GB"/>
              </w:rPr>
              <w:t>年</w:t>
            </w:r>
            <w:r>
              <w:rPr>
                <w:rFonts w:ascii="Times New Roman" w:hAnsi="Times New Roman"/>
                <w:sz w:val="24"/>
                <w:szCs w:val="24"/>
                <w:lang w:val="en-GB"/>
              </w:rPr>
              <w:t>11</w:t>
            </w:r>
            <w:r w:rsidRPr="008044D7">
              <w:rPr>
                <w:rFonts w:ascii="Times New Roman" w:hAnsi="Times New Roman" w:hint="eastAsia"/>
                <w:sz w:val="24"/>
                <w:szCs w:val="24"/>
                <w:lang w:val="en-GB"/>
              </w:rPr>
              <w:t>月</w:t>
            </w:r>
            <w:r>
              <w:rPr>
                <w:rFonts w:ascii="Times New Roman" w:hAnsi="Times New Roman"/>
                <w:sz w:val="24"/>
                <w:szCs w:val="24"/>
                <w:lang w:val="en-GB"/>
              </w:rPr>
              <w:t>17</w:t>
            </w:r>
            <w:r w:rsidRPr="008044D7">
              <w:rPr>
                <w:rFonts w:ascii="Times New Roman" w:hAnsi="Times New Roman" w:hint="eastAsia"/>
                <w:sz w:val="24"/>
                <w:szCs w:val="24"/>
                <w:lang w:val="en-GB"/>
              </w:rPr>
              <w:t>日</w:t>
            </w:r>
            <w:r w:rsidRPr="00474D20">
              <w:rPr>
                <w:rFonts w:ascii="Times New Roman" w:hAnsi="Times New Roman"/>
                <w:bCs/>
                <w:color w:val="000000"/>
                <w:kern w:val="0"/>
                <w:sz w:val="24"/>
                <w:szCs w:val="24"/>
                <w:lang w:bidi="ar-AE"/>
              </w:rPr>
              <w:t>成立于</w:t>
            </w:r>
            <w:r>
              <w:rPr>
                <w:rFonts w:ascii="Times New Roman" w:hAnsi="Times New Roman" w:hint="eastAsia"/>
                <w:sz w:val="24"/>
                <w:szCs w:val="24"/>
                <w:lang w:val="en-GB"/>
              </w:rPr>
              <w:t>德国</w:t>
            </w:r>
            <w:r w:rsidR="00DB7B34">
              <w:rPr>
                <w:rFonts w:ascii="Times New Roman" w:hAnsi="Times New Roman" w:hint="eastAsia"/>
                <w:sz w:val="24"/>
                <w:szCs w:val="24"/>
                <w:lang w:val="en-GB"/>
              </w:rPr>
              <w:t>，</w:t>
            </w:r>
            <w:r w:rsidRPr="00AE24A1">
              <w:rPr>
                <w:rFonts w:ascii="Times New Roman" w:hAnsi="Times New Roman" w:hint="eastAsia"/>
                <w:sz w:val="24"/>
                <w:szCs w:val="24"/>
                <w:lang w:val="en-GB"/>
              </w:rPr>
              <w:t>主要</w:t>
            </w:r>
            <w:r w:rsidR="00A30F75">
              <w:rPr>
                <w:rFonts w:ascii="Times New Roman" w:hAnsi="Times New Roman" w:hint="eastAsia"/>
                <w:sz w:val="24"/>
                <w:szCs w:val="24"/>
                <w:lang w:val="en-GB"/>
              </w:rPr>
              <w:t>业务为</w:t>
            </w:r>
            <w:r w:rsidRPr="00AE24A1">
              <w:rPr>
                <w:rFonts w:ascii="Times New Roman" w:hAnsi="Times New Roman" w:hint="eastAsia"/>
                <w:sz w:val="24"/>
                <w:szCs w:val="24"/>
                <w:lang w:val="en-GB"/>
              </w:rPr>
              <w:t>乘用车、货车的开发、生产和销售及相关服务</w:t>
            </w:r>
            <w:r w:rsidRPr="008044D7">
              <w:rPr>
                <w:rFonts w:ascii="Times New Roman" w:hAnsi="Times New Roman" w:hint="eastAsia"/>
                <w:sz w:val="24"/>
                <w:szCs w:val="24"/>
                <w:lang w:val="en-GB"/>
              </w:rPr>
              <w:t>。</w:t>
            </w:r>
          </w:p>
          <w:p w14:paraId="47E2F26D" w14:textId="74DB471C" w:rsidR="00AE24A1" w:rsidRPr="00474D20" w:rsidRDefault="00AE24A1" w:rsidP="008044D7">
            <w:pPr>
              <w:widowControl/>
              <w:adjustRightInd w:val="0"/>
              <w:snapToGrid w:val="0"/>
              <w:spacing w:beforeLines="50" w:before="156" w:afterLines="50" w:after="156"/>
              <w:rPr>
                <w:rFonts w:ascii="Times New Roman" w:hAnsi="Times New Roman"/>
                <w:sz w:val="24"/>
                <w:szCs w:val="24"/>
                <w:lang w:val="en-GB"/>
              </w:rPr>
            </w:pPr>
            <w:r w:rsidRPr="00203C46">
              <w:rPr>
                <w:rFonts w:ascii="Times New Roman" w:hAnsi="Times New Roman" w:hint="eastAsia"/>
                <w:sz w:val="24"/>
                <w:szCs w:val="24"/>
                <w:lang w:val="en-GB"/>
              </w:rPr>
              <w:t>梅赛德斯</w:t>
            </w:r>
            <w:r w:rsidRPr="00203C46">
              <w:rPr>
                <w:rFonts w:ascii="Times New Roman" w:hAnsi="Times New Roman" w:hint="eastAsia"/>
                <w:sz w:val="24"/>
                <w:szCs w:val="24"/>
                <w:lang w:val="en-GB"/>
              </w:rPr>
              <w:t>-</w:t>
            </w:r>
            <w:r w:rsidRPr="00203C46">
              <w:rPr>
                <w:rFonts w:ascii="Times New Roman" w:hAnsi="Times New Roman" w:hint="eastAsia"/>
                <w:sz w:val="24"/>
                <w:szCs w:val="24"/>
                <w:lang w:val="en-GB"/>
              </w:rPr>
              <w:t>奔驰</w:t>
            </w:r>
            <w:r w:rsidRPr="008044D7">
              <w:rPr>
                <w:rFonts w:ascii="Times New Roman" w:hAnsi="Times New Roman" w:hint="eastAsia"/>
                <w:sz w:val="24"/>
                <w:szCs w:val="24"/>
                <w:lang w:val="en-GB"/>
              </w:rPr>
              <w:t>的最终控制人为</w:t>
            </w:r>
            <w:r w:rsidRPr="00AE24A1">
              <w:rPr>
                <w:rFonts w:ascii="Times New Roman" w:hAnsi="Times New Roman" w:hint="eastAsia"/>
                <w:sz w:val="24"/>
                <w:szCs w:val="24"/>
                <w:lang w:val="en-GB"/>
              </w:rPr>
              <w:t>梅赛德斯</w:t>
            </w:r>
            <w:r w:rsidRPr="00AE24A1">
              <w:rPr>
                <w:rFonts w:ascii="Times New Roman" w:hAnsi="Times New Roman" w:hint="eastAsia"/>
                <w:sz w:val="24"/>
                <w:szCs w:val="24"/>
                <w:lang w:val="en-GB"/>
              </w:rPr>
              <w:t>-</w:t>
            </w:r>
            <w:r w:rsidRPr="00AE24A1">
              <w:rPr>
                <w:rFonts w:ascii="Times New Roman" w:hAnsi="Times New Roman" w:hint="eastAsia"/>
                <w:sz w:val="24"/>
                <w:szCs w:val="24"/>
                <w:lang w:val="en-GB"/>
              </w:rPr>
              <w:t>奔驰集团股份公司</w:t>
            </w:r>
            <w:r w:rsidR="00DB7B34">
              <w:rPr>
                <w:rFonts w:ascii="Times New Roman" w:hAnsi="Times New Roman" w:hint="eastAsia"/>
                <w:sz w:val="24"/>
                <w:szCs w:val="24"/>
                <w:lang w:val="en-GB"/>
              </w:rPr>
              <w:t>，</w:t>
            </w:r>
            <w:r w:rsidR="0024276A">
              <w:rPr>
                <w:rFonts w:ascii="Times New Roman" w:hAnsi="Times New Roman" w:hint="eastAsia"/>
                <w:sz w:val="24"/>
                <w:szCs w:val="24"/>
                <w:lang w:val="en-GB"/>
              </w:rPr>
              <w:t>主要</w:t>
            </w:r>
            <w:r w:rsidR="004D7B09">
              <w:rPr>
                <w:rFonts w:ascii="Times New Roman" w:hAnsi="Times New Roman" w:hint="eastAsia"/>
                <w:sz w:val="24"/>
                <w:szCs w:val="24"/>
                <w:lang w:val="en-GB"/>
              </w:rPr>
              <w:t>业务为</w:t>
            </w:r>
            <w:r w:rsidR="0024276A">
              <w:rPr>
                <w:rFonts w:ascii="Times New Roman" w:hAnsi="Times New Roman" w:hint="eastAsia"/>
                <w:sz w:val="24"/>
                <w:szCs w:val="24"/>
                <w:lang w:val="en-GB"/>
              </w:rPr>
              <w:t>在全球范围内</w:t>
            </w:r>
            <w:r w:rsidR="00A30F75">
              <w:rPr>
                <w:rFonts w:ascii="Times New Roman" w:hAnsi="Times New Roman" w:hint="eastAsia"/>
                <w:sz w:val="24"/>
                <w:szCs w:val="24"/>
                <w:lang w:val="en-GB"/>
              </w:rPr>
              <w:t>提供</w:t>
            </w:r>
            <w:r w:rsidRPr="00AE24A1">
              <w:rPr>
                <w:rFonts w:ascii="Times New Roman" w:hAnsi="Times New Roman" w:hint="eastAsia"/>
                <w:sz w:val="24"/>
                <w:szCs w:val="24"/>
                <w:lang w:val="en-GB"/>
              </w:rPr>
              <w:t>乘用车和货车</w:t>
            </w:r>
            <w:r w:rsidR="00EE2B88">
              <w:rPr>
                <w:rFonts w:ascii="Times New Roman" w:hAnsi="Times New Roman" w:hint="eastAsia"/>
                <w:sz w:val="24"/>
                <w:szCs w:val="24"/>
                <w:lang w:val="en-GB"/>
              </w:rPr>
              <w:t>及相关服务</w:t>
            </w:r>
            <w:r>
              <w:rPr>
                <w:rFonts w:ascii="Times New Roman" w:hAnsi="Times New Roman" w:hint="eastAsia"/>
                <w:sz w:val="24"/>
                <w:szCs w:val="24"/>
                <w:lang w:val="en-GB"/>
              </w:rPr>
              <w:t>。</w:t>
            </w:r>
          </w:p>
        </w:tc>
      </w:tr>
      <w:tr w:rsidR="00AE24A1" w:rsidRPr="00474D20" w14:paraId="7DB5275E" w14:textId="77777777" w:rsidTr="002E5CA0">
        <w:trPr>
          <w:trHeight w:val="404"/>
        </w:trPr>
        <w:tc>
          <w:tcPr>
            <w:tcW w:w="1985" w:type="dxa"/>
            <w:vMerge/>
            <w:shd w:val="clear" w:color="auto" w:fill="D9D9D9"/>
            <w:vAlign w:val="center"/>
          </w:tcPr>
          <w:p w14:paraId="560A29AB" w14:textId="77777777" w:rsidR="00AE24A1" w:rsidRPr="005368A9" w:rsidRDefault="00AE24A1" w:rsidP="00FB7045">
            <w:pPr>
              <w:rPr>
                <w:rFonts w:ascii="Times New Roman" w:hAnsi="Times New Roman"/>
                <w:b/>
                <w:bCs/>
                <w:sz w:val="24"/>
                <w:szCs w:val="24"/>
              </w:rPr>
            </w:pPr>
          </w:p>
        </w:tc>
        <w:tc>
          <w:tcPr>
            <w:tcW w:w="2192" w:type="dxa"/>
          </w:tcPr>
          <w:p w14:paraId="5EED6900" w14:textId="1998D62C" w:rsidR="00AE24A1" w:rsidRPr="00474D20" w:rsidRDefault="00AE24A1" w:rsidP="00FA5A2F">
            <w:pPr>
              <w:pStyle w:val="ad"/>
              <w:numPr>
                <w:ilvl w:val="0"/>
                <w:numId w:val="20"/>
              </w:numPr>
              <w:spacing w:beforeLines="50" w:before="156" w:afterLines="50" w:after="156"/>
              <w:ind w:firstLineChars="0"/>
              <w:rPr>
                <w:rFonts w:ascii="Times New Roman" w:hAnsi="Times New Roman"/>
                <w:sz w:val="24"/>
                <w:szCs w:val="24"/>
              </w:rPr>
            </w:pPr>
            <w:r w:rsidRPr="00203C46">
              <w:rPr>
                <w:rFonts w:ascii="Times New Roman" w:hAnsi="Times New Roman" w:hint="eastAsia"/>
                <w:sz w:val="24"/>
                <w:szCs w:val="24"/>
              </w:rPr>
              <w:t>标致雪铁龙</w:t>
            </w:r>
            <w:r w:rsidR="00DB7B34">
              <w:rPr>
                <w:rFonts w:ascii="Times New Roman" w:hAnsi="Times New Roman" w:hint="eastAsia"/>
                <w:sz w:val="24"/>
                <w:szCs w:val="24"/>
              </w:rPr>
              <w:t>汽车公司</w:t>
            </w:r>
          </w:p>
        </w:tc>
        <w:tc>
          <w:tcPr>
            <w:tcW w:w="5321" w:type="dxa"/>
          </w:tcPr>
          <w:p w14:paraId="5FD7AFAD" w14:textId="6F3233DE" w:rsidR="00AE24A1" w:rsidRDefault="00AE24A1" w:rsidP="008044D7">
            <w:pPr>
              <w:widowControl/>
              <w:adjustRightInd w:val="0"/>
              <w:snapToGrid w:val="0"/>
              <w:spacing w:beforeLines="50" w:before="156" w:afterLines="50" w:after="156"/>
              <w:rPr>
                <w:rFonts w:ascii="Times New Roman" w:hAnsi="Times New Roman"/>
                <w:color w:val="000000"/>
                <w:sz w:val="24"/>
                <w:szCs w:val="24"/>
              </w:rPr>
            </w:pPr>
            <w:r w:rsidRPr="00203C46">
              <w:rPr>
                <w:rFonts w:ascii="Times New Roman" w:hAnsi="Times New Roman" w:hint="eastAsia"/>
                <w:sz w:val="24"/>
                <w:szCs w:val="24"/>
              </w:rPr>
              <w:t>标致雪铁龙</w:t>
            </w:r>
            <w:r w:rsidR="00DB7B34">
              <w:rPr>
                <w:rFonts w:ascii="Times New Roman" w:hAnsi="Times New Roman" w:hint="eastAsia"/>
                <w:sz w:val="24"/>
                <w:szCs w:val="24"/>
              </w:rPr>
              <w:t>汽车公司</w:t>
            </w:r>
            <w:r w:rsidRPr="008044D7">
              <w:rPr>
                <w:rFonts w:ascii="Times New Roman" w:hAnsi="Times New Roman" w:hint="eastAsia"/>
                <w:color w:val="000000"/>
                <w:sz w:val="24"/>
                <w:szCs w:val="24"/>
              </w:rPr>
              <w:t>于</w:t>
            </w:r>
            <w:r w:rsidRPr="008044D7">
              <w:rPr>
                <w:rFonts w:ascii="Times New Roman" w:hAnsi="Times New Roman" w:hint="eastAsia"/>
                <w:color w:val="000000"/>
                <w:sz w:val="24"/>
                <w:szCs w:val="24"/>
              </w:rPr>
              <w:t>19</w:t>
            </w:r>
            <w:r>
              <w:rPr>
                <w:rFonts w:ascii="Times New Roman" w:hAnsi="Times New Roman"/>
                <w:color w:val="000000"/>
                <w:sz w:val="24"/>
                <w:szCs w:val="24"/>
              </w:rPr>
              <w:t>99</w:t>
            </w:r>
            <w:r w:rsidRPr="008044D7">
              <w:rPr>
                <w:rFonts w:ascii="Times New Roman" w:hAnsi="Times New Roman" w:hint="eastAsia"/>
                <w:color w:val="000000"/>
                <w:sz w:val="24"/>
                <w:szCs w:val="24"/>
              </w:rPr>
              <w:t>年</w:t>
            </w:r>
            <w:r>
              <w:rPr>
                <w:rFonts w:ascii="Times New Roman" w:hAnsi="Times New Roman"/>
                <w:color w:val="000000"/>
                <w:sz w:val="24"/>
                <w:szCs w:val="24"/>
              </w:rPr>
              <w:t>2</w:t>
            </w:r>
            <w:r w:rsidRPr="008044D7">
              <w:rPr>
                <w:rFonts w:ascii="Times New Roman" w:hAnsi="Times New Roman" w:hint="eastAsia"/>
                <w:color w:val="000000"/>
                <w:sz w:val="24"/>
                <w:szCs w:val="24"/>
              </w:rPr>
              <w:t>月</w:t>
            </w:r>
            <w:r>
              <w:rPr>
                <w:rFonts w:ascii="Times New Roman" w:hAnsi="Times New Roman"/>
                <w:color w:val="000000"/>
                <w:sz w:val="24"/>
                <w:szCs w:val="24"/>
              </w:rPr>
              <w:t>11</w:t>
            </w:r>
            <w:r w:rsidRPr="008044D7">
              <w:rPr>
                <w:rFonts w:ascii="Times New Roman" w:hAnsi="Times New Roman" w:hint="eastAsia"/>
                <w:color w:val="000000"/>
                <w:sz w:val="24"/>
                <w:szCs w:val="24"/>
              </w:rPr>
              <w:t>日</w:t>
            </w:r>
            <w:r w:rsidRPr="00474D20">
              <w:rPr>
                <w:rFonts w:ascii="Times New Roman" w:hAnsi="Times New Roman"/>
                <w:bCs/>
                <w:color w:val="000000"/>
                <w:kern w:val="0"/>
                <w:sz w:val="24"/>
                <w:szCs w:val="24"/>
                <w:lang w:bidi="ar-AE"/>
              </w:rPr>
              <w:t>成立于</w:t>
            </w:r>
            <w:r>
              <w:rPr>
                <w:rFonts w:ascii="Times New Roman" w:hAnsi="Times New Roman" w:hint="eastAsia"/>
                <w:bCs/>
                <w:color w:val="000000"/>
                <w:sz w:val="24"/>
                <w:szCs w:val="24"/>
                <w:lang w:bidi="ar-AE"/>
              </w:rPr>
              <w:t>法国</w:t>
            </w:r>
            <w:r w:rsidR="00A30F75">
              <w:rPr>
                <w:rFonts w:ascii="Times New Roman" w:hAnsi="Times New Roman" w:hint="eastAsia"/>
                <w:bCs/>
                <w:color w:val="000000"/>
                <w:sz w:val="24"/>
                <w:szCs w:val="24"/>
                <w:lang w:bidi="ar-AE"/>
              </w:rPr>
              <w:t>，</w:t>
            </w:r>
            <w:r w:rsidR="00A30F75" w:rsidRPr="00AE24A1">
              <w:rPr>
                <w:rFonts w:ascii="Times New Roman" w:hAnsi="Times New Roman" w:hint="eastAsia"/>
                <w:sz w:val="24"/>
                <w:szCs w:val="24"/>
                <w:lang w:val="en-GB"/>
              </w:rPr>
              <w:t>主要</w:t>
            </w:r>
            <w:r w:rsidR="00A30F75">
              <w:rPr>
                <w:rFonts w:ascii="Times New Roman" w:hAnsi="Times New Roman" w:hint="eastAsia"/>
                <w:sz w:val="24"/>
                <w:szCs w:val="24"/>
                <w:lang w:val="en-GB"/>
              </w:rPr>
              <w:t>业务为</w:t>
            </w:r>
            <w:r w:rsidRPr="00AE24A1">
              <w:rPr>
                <w:rFonts w:ascii="Times New Roman" w:hAnsi="Times New Roman" w:hint="eastAsia"/>
                <w:color w:val="000000"/>
                <w:sz w:val="24"/>
                <w:szCs w:val="24"/>
              </w:rPr>
              <w:t>汽车制造</w:t>
            </w:r>
            <w:r w:rsidR="008F447E">
              <w:rPr>
                <w:rFonts w:ascii="Times New Roman" w:hAnsi="Times New Roman" w:hint="eastAsia"/>
                <w:color w:val="000000"/>
                <w:sz w:val="24"/>
                <w:szCs w:val="24"/>
              </w:rPr>
              <w:t>，</w:t>
            </w:r>
            <w:r w:rsidR="008F447E" w:rsidRPr="008F447E">
              <w:rPr>
                <w:rFonts w:ascii="Times New Roman" w:hAnsi="Times New Roman" w:hint="eastAsia"/>
                <w:color w:val="000000"/>
                <w:sz w:val="24"/>
                <w:szCs w:val="24"/>
              </w:rPr>
              <w:t>提供乘用车、面包车、轻型商用车、运动系列、电动车型、跨界车和商用车，以及零配件、附件和移动解决方案</w:t>
            </w:r>
            <w:r w:rsidRPr="008044D7">
              <w:rPr>
                <w:rFonts w:ascii="Times New Roman" w:hAnsi="Times New Roman" w:hint="eastAsia"/>
                <w:color w:val="000000"/>
                <w:sz w:val="24"/>
                <w:szCs w:val="24"/>
              </w:rPr>
              <w:t>。</w:t>
            </w:r>
          </w:p>
          <w:p w14:paraId="54E203B5" w14:textId="3FFAA127" w:rsidR="00AE24A1" w:rsidRPr="00474D20" w:rsidRDefault="00AE24A1" w:rsidP="008044D7">
            <w:pPr>
              <w:widowControl/>
              <w:adjustRightInd w:val="0"/>
              <w:snapToGrid w:val="0"/>
              <w:spacing w:beforeLines="50" w:before="156" w:afterLines="50" w:after="156"/>
              <w:rPr>
                <w:rFonts w:ascii="Times New Roman" w:hAnsi="Times New Roman"/>
                <w:color w:val="000000"/>
                <w:sz w:val="24"/>
                <w:szCs w:val="24"/>
              </w:rPr>
            </w:pPr>
            <w:r w:rsidRPr="00203C46">
              <w:rPr>
                <w:rFonts w:ascii="Times New Roman" w:hAnsi="Times New Roman" w:hint="eastAsia"/>
                <w:sz w:val="24"/>
                <w:szCs w:val="24"/>
              </w:rPr>
              <w:t>标致雪铁龙</w:t>
            </w:r>
            <w:r w:rsidRPr="008044D7">
              <w:rPr>
                <w:rFonts w:ascii="Times New Roman" w:hAnsi="Times New Roman" w:hint="eastAsia"/>
                <w:color w:val="000000"/>
                <w:sz w:val="24"/>
                <w:szCs w:val="24"/>
              </w:rPr>
              <w:t>的最终控制人</w:t>
            </w:r>
            <w:r w:rsidR="00221094">
              <w:rPr>
                <w:rFonts w:ascii="Times New Roman" w:hAnsi="Times New Roman" w:hint="eastAsia"/>
                <w:color w:val="000000"/>
                <w:sz w:val="24"/>
                <w:szCs w:val="24"/>
              </w:rPr>
              <w:t>为</w:t>
            </w:r>
            <w:r w:rsidR="00D313EF" w:rsidRPr="00D313EF">
              <w:rPr>
                <w:rFonts w:ascii="Times New Roman" w:hAnsi="Times New Roman"/>
                <w:color w:val="000000"/>
                <w:sz w:val="24"/>
                <w:szCs w:val="24"/>
              </w:rPr>
              <w:t>Stellantis</w:t>
            </w:r>
            <w:r w:rsidR="00A30F75">
              <w:rPr>
                <w:rFonts w:ascii="Times New Roman" w:hAnsi="Times New Roman" w:hint="eastAsia"/>
                <w:color w:val="000000"/>
                <w:sz w:val="24"/>
                <w:szCs w:val="24"/>
              </w:rPr>
              <w:t>，主要业务为提供</w:t>
            </w:r>
            <w:r w:rsidRPr="00AE24A1">
              <w:rPr>
                <w:rFonts w:ascii="Times New Roman" w:hAnsi="Times New Roman" w:hint="eastAsia"/>
                <w:color w:val="000000"/>
                <w:sz w:val="24"/>
                <w:szCs w:val="24"/>
              </w:rPr>
              <w:t>豪华、高级和主流乘用车</w:t>
            </w:r>
            <w:r>
              <w:rPr>
                <w:rFonts w:ascii="Times New Roman" w:hAnsi="Times New Roman" w:hint="eastAsia"/>
                <w:color w:val="000000"/>
                <w:sz w:val="24"/>
                <w:szCs w:val="24"/>
              </w:rPr>
              <w:t>、</w:t>
            </w:r>
            <w:r w:rsidRPr="00AE24A1">
              <w:rPr>
                <w:rFonts w:ascii="Times New Roman" w:hAnsi="Times New Roman" w:hint="eastAsia"/>
                <w:color w:val="000000"/>
                <w:sz w:val="24"/>
                <w:szCs w:val="24"/>
              </w:rPr>
              <w:t>皮卡、</w:t>
            </w:r>
            <w:r w:rsidRPr="00AE24A1">
              <w:rPr>
                <w:rFonts w:ascii="Times New Roman" w:hAnsi="Times New Roman" w:hint="eastAsia"/>
                <w:color w:val="000000"/>
                <w:sz w:val="24"/>
                <w:szCs w:val="24"/>
              </w:rPr>
              <w:t>SUV</w:t>
            </w:r>
            <w:r w:rsidRPr="00AE24A1">
              <w:rPr>
                <w:rFonts w:ascii="Times New Roman" w:hAnsi="Times New Roman" w:hint="eastAsia"/>
                <w:color w:val="000000"/>
                <w:sz w:val="24"/>
                <w:szCs w:val="24"/>
              </w:rPr>
              <w:t>和轻型商用车，以及专门的移动、金融和零部件及服务。</w:t>
            </w:r>
          </w:p>
        </w:tc>
      </w:tr>
      <w:tr w:rsidR="00AE24A1" w:rsidRPr="00474D20" w14:paraId="383DC75C" w14:textId="77777777" w:rsidTr="002E5CA0">
        <w:trPr>
          <w:trHeight w:val="404"/>
        </w:trPr>
        <w:tc>
          <w:tcPr>
            <w:tcW w:w="1985" w:type="dxa"/>
            <w:vMerge/>
            <w:shd w:val="clear" w:color="auto" w:fill="D9D9D9"/>
            <w:vAlign w:val="center"/>
          </w:tcPr>
          <w:p w14:paraId="43718024" w14:textId="77777777" w:rsidR="00AE24A1" w:rsidRPr="005368A9" w:rsidRDefault="00AE24A1" w:rsidP="00AE24A1">
            <w:pPr>
              <w:rPr>
                <w:rFonts w:ascii="Times New Roman" w:hAnsi="Times New Roman"/>
                <w:b/>
                <w:bCs/>
                <w:sz w:val="24"/>
                <w:szCs w:val="24"/>
              </w:rPr>
            </w:pPr>
          </w:p>
        </w:tc>
        <w:tc>
          <w:tcPr>
            <w:tcW w:w="2192" w:type="dxa"/>
          </w:tcPr>
          <w:p w14:paraId="744DCD60" w14:textId="684406E8" w:rsidR="00AE24A1" w:rsidRPr="007D5263" w:rsidRDefault="00AE24A1" w:rsidP="00AE24A1">
            <w:pPr>
              <w:pStyle w:val="ad"/>
              <w:numPr>
                <w:ilvl w:val="0"/>
                <w:numId w:val="20"/>
              </w:numPr>
              <w:spacing w:beforeLines="50" w:before="156" w:afterLines="50" w:after="156"/>
              <w:ind w:firstLineChars="0"/>
              <w:rPr>
                <w:rFonts w:ascii="Times New Roman" w:eastAsia="仿宋_GB2312" w:hAnsi="Times New Roman"/>
                <w:sz w:val="24"/>
                <w:szCs w:val="24"/>
              </w:rPr>
            </w:pPr>
            <w:r w:rsidRPr="00203C46">
              <w:rPr>
                <w:rFonts w:ascii="Times New Roman" w:hAnsi="Times New Roman" w:hint="eastAsia"/>
                <w:sz w:val="24"/>
                <w:szCs w:val="24"/>
              </w:rPr>
              <w:t>欧宝汽车</w:t>
            </w:r>
            <w:r w:rsidR="00DB7B34">
              <w:rPr>
                <w:rFonts w:ascii="Times New Roman" w:hAnsi="Times New Roman" w:hint="eastAsia"/>
                <w:sz w:val="24"/>
                <w:szCs w:val="24"/>
              </w:rPr>
              <w:t>公司</w:t>
            </w:r>
          </w:p>
        </w:tc>
        <w:tc>
          <w:tcPr>
            <w:tcW w:w="5321" w:type="dxa"/>
          </w:tcPr>
          <w:p w14:paraId="3B1D9143" w14:textId="536EA16F" w:rsidR="00AE24A1" w:rsidRDefault="00AE24A1" w:rsidP="00AE24A1">
            <w:pPr>
              <w:widowControl/>
              <w:adjustRightInd w:val="0"/>
              <w:snapToGrid w:val="0"/>
              <w:spacing w:beforeLines="50" w:before="156" w:afterLines="50" w:after="156"/>
              <w:rPr>
                <w:rFonts w:ascii="Times New Roman" w:hAnsi="Times New Roman"/>
                <w:color w:val="000000"/>
                <w:sz w:val="24"/>
                <w:szCs w:val="24"/>
              </w:rPr>
            </w:pPr>
            <w:r w:rsidRPr="00203C46">
              <w:rPr>
                <w:rFonts w:ascii="Times New Roman" w:hAnsi="Times New Roman" w:hint="eastAsia"/>
                <w:sz w:val="24"/>
                <w:szCs w:val="24"/>
              </w:rPr>
              <w:t>欧宝汽车</w:t>
            </w:r>
            <w:r w:rsidR="00DB7B34">
              <w:rPr>
                <w:rFonts w:ascii="Times New Roman" w:hAnsi="Times New Roman" w:hint="eastAsia"/>
                <w:sz w:val="24"/>
                <w:szCs w:val="24"/>
              </w:rPr>
              <w:t>公司</w:t>
            </w:r>
            <w:r w:rsidRPr="008044D7">
              <w:rPr>
                <w:rFonts w:ascii="Times New Roman" w:hAnsi="Times New Roman" w:hint="eastAsia"/>
                <w:color w:val="000000"/>
                <w:sz w:val="24"/>
                <w:szCs w:val="24"/>
              </w:rPr>
              <w:t>于</w:t>
            </w:r>
            <w:r w:rsidRPr="00AE24A1">
              <w:rPr>
                <w:rFonts w:ascii="Times New Roman" w:hAnsi="Times New Roman" w:hint="eastAsia"/>
                <w:color w:val="000000"/>
                <w:sz w:val="24"/>
                <w:szCs w:val="24"/>
              </w:rPr>
              <w:t>1862</w:t>
            </w:r>
            <w:r w:rsidRPr="00AE24A1">
              <w:rPr>
                <w:rFonts w:ascii="Times New Roman" w:hAnsi="Times New Roman" w:hint="eastAsia"/>
                <w:color w:val="000000"/>
                <w:sz w:val="24"/>
                <w:szCs w:val="24"/>
              </w:rPr>
              <w:t>年</w:t>
            </w:r>
            <w:r w:rsidRPr="00AE24A1">
              <w:rPr>
                <w:rFonts w:ascii="Times New Roman" w:hAnsi="Times New Roman" w:hint="eastAsia"/>
                <w:color w:val="000000"/>
                <w:sz w:val="24"/>
                <w:szCs w:val="24"/>
              </w:rPr>
              <w:t>1</w:t>
            </w:r>
            <w:r w:rsidRPr="00AE24A1">
              <w:rPr>
                <w:rFonts w:ascii="Times New Roman" w:hAnsi="Times New Roman" w:hint="eastAsia"/>
                <w:color w:val="000000"/>
                <w:sz w:val="24"/>
                <w:szCs w:val="24"/>
              </w:rPr>
              <w:t>月</w:t>
            </w:r>
            <w:r w:rsidRPr="00AE24A1">
              <w:rPr>
                <w:rFonts w:ascii="Times New Roman" w:hAnsi="Times New Roman" w:hint="eastAsia"/>
                <w:color w:val="000000"/>
                <w:sz w:val="24"/>
                <w:szCs w:val="24"/>
              </w:rPr>
              <w:t>21</w:t>
            </w:r>
            <w:r w:rsidRPr="00AE24A1">
              <w:rPr>
                <w:rFonts w:ascii="Times New Roman" w:hAnsi="Times New Roman" w:hint="eastAsia"/>
                <w:color w:val="000000"/>
                <w:sz w:val="24"/>
                <w:szCs w:val="24"/>
              </w:rPr>
              <w:t>日</w:t>
            </w:r>
            <w:r w:rsidRPr="00474D20">
              <w:rPr>
                <w:rFonts w:ascii="Times New Roman" w:hAnsi="Times New Roman"/>
                <w:bCs/>
                <w:color w:val="000000"/>
                <w:kern w:val="0"/>
                <w:sz w:val="24"/>
                <w:szCs w:val="24"/>
                <w:lang w:bidi="ar-AE"/>
              </w:rPr>
              <w:t>成立于</w:t>
            </w:r>
            <w:r>
              <w:rPr>
                <w:rFonts w:ascii="Times New Roman" w:hAnsi="Times New Roman" w:hint="eastAsia"/>
                <w:color w:val="000000"/>
                <w:sz w:val="24"/>
                <w:szCs w:val="24"/>
              </w:rPr>
              <w:t>德国</w:t>
            </w:r>
            <w:r w:rsidR="00A30F75" w:rsidRPr="00AE24A1">
              <w:rPr>
                <w:rFonts w:ascii="Times New Roman" w:hAnsi="Times New Roman" w:hint="eastAsia"/>
                <w:sz w:val="24"/>
                <w:szCs w:val="24"/>
                <w:lang w:val="en-GB"/>
              </w:rPr>
              <w:t>主要</w:t>
            </w:r>
            <w:r w:rsidR="00A30F75">
              <w:rPr>
                <w:rFonts w:ascii="Times New Roman" w:hAnsi="Times New Roman" w:hint="eastAsia"/>
                <w:sz w:val="24"/>
                <w:szCs w:val="24"/>
                <w:lang w:val="en-GB"/>
              </w:rPr>
              <w:t>业务为</w:t>
            </w:r>
            <w:r w:rsidRPr="00AE24A1">
              <w:rPr>
                <w:rFonts w:ascii="Times New Roman" w:hAnsi="Times New Roman" w:hint="eastAsia"/>
                <w:color w:val="000000"/>
                <w:sz w:val="24"/>
                <w:szCs w:val="24"/>
              </w:rPr>
              <w:t>欧宝品牌的乘用车、轻型商用车和汽车零部件的设计、制造和销售</w:t>
            </w:r>
            <w:r w:rsidRPr="008044D7">
              <w:rPr>
                <w:rFonts w:ascii="Times New Roman" w:hAnsi="Times New Roman" w:hint="eastAsia"/>
                <w:color w:val="000000"/>
                <w:sz w:val="24"/>
                <w:szCs w:val="24"/>
              </w:rPr>
              <w:t>。</w:t>
            </w:r>
          </w:p>
          <w:p w14:paraId="67CCD615" w14:textId="24474D98" w:rsidR="00AE24A1" w:rsidRPr="008044D7" w:rsidRDefault="00AE24A1" w:rsidP="00AE24A1">
            <w:pPr>
              <w:widowControl/>
              <w:adjustRightInd w:val="0"/>
              <w:snapToGrid w:val="0"/>
              <w:spacing w:beforeLines="50" w:before="156" w:afterLines="50" w:after="156"/>
              <w:rPr>
                <w:rFonts w:ascii="Times New Roman" w:hAnsi="Times New Roman"/>
                <w:color w:val="000000"/>
                <w:sz w:val="24"/>
                <w:szCs w:val="24"/>
              </w:rPr>
            </w:pPr>
            <w:r w:rsidRPr="00203C46">
              <w:rPr>
                <w:rFonts w:ascii="Times New Roman" w:hAnsi="Times New Roman" w:hint="eastAsia"/>
                <w:sz w:val="24"/>
                <w:szCs w:val="24"/>
              </w:rPr>
              <w:t>欧宝汽车</w:t>
            </w:r>
            <w:r w:rsidRPr="008044D7">
              <w:rPr>
                <w:rFonts w:ascii="Times New Roman" w:hAnsi="Times New Roman" w:hint="eastAsia"/>
                <w:color w:val="000000"/>
                <w:sz w:val="24"/>
                <w:szCs w:val="24"/>
              </w:rPr>
              <w:t>的最终控制人</w:t>
            </w:r>
            <w:r w:rsidR="006164D0">
              <w:rPr>
                <w:rFonts w:ascii="Times New Roman" w:hAnsi="Times New Roman" w:hint="eastAsia"/>
                <w:color w:val="000000"/>
                <w:sz w:val="24"/>
                <w:szCs w:val="24"/>
              </w:rPr>
              <w:t>为</w:t>
            </w:r>
            <w:r w:rsidRPr="00AE24A1">
              <w:rPr>
                <w:rFonts w:ascii="Times New Roman" w:hAnsi="Times New Roman"/>
                <w:color w:val="000000"/>
                <w:sz w:val="24"/>
                <w:szCs w:val="24"/>
              </w:rPr>
              <w:t>Stellantis</w:t>
            </w:r>
            <w:r w:rsidRPr="008044D7">
              <w:rPr>
                <w:rFonts w:ascii="Times New Roman" w:hAnsi="Times New Roman" w:hint="eastAsia"/>
                <w:color w:val="000000"/>
                <w:sz w:val="24"/>
                <w:szCs w:val="24"/>
              </w:rPr>
              <w:t>。</w:t>
            </w:r>
            <w:r w:rsidRPr="00AE24A1">
              <w:rPr>
                <w:rFonts w:ascii="Times New Roman" w:hAnsi="Times New Roman"/>
                <w:color w:val="000000"/>
                <w:sz w:val="24"/>
                <w:szCs w:val="24"/>
              </w:rPr>
              <w:t>Stellantis</w:t>
            </w:r>
            <w:r>
              <w:rPr>
                <w:rFonts w:ascii="Times New Roman" w:hAnsi="Times New Roman" w:hint="eastAsia"/>
                <w:color w:val="000000"/>
                <w:sz w:val="24"/>
                <w:szCs w:val="24"/>
              </w:rPr>
              <w:t>的主营业务</w:t>
            </w:r>
            <w:r w:rsidR="006164D0">
              <w:rPr>
                <w:rFonts w:ascii="Times New Roman" w:hAnsi="Times New Roman" w:hint="eastAsia"/>
                <w:color w:val="000000"/>
                <w:sz w:val="24"/>
                <w:szCs w:val="24"/>
              </w:rPr>
              <w:t>如上所述</w:t>
            </w:r>
            <w:r>
              <w:rPr>
                <w:rFonts w:ascii="Times New Roman" w:hAnsi="Times New Roman" w:hint="eastAsia"/>
                <w:color w:val="000000"/>
                <w:sz w:val="24"/>
                <w:szCs w:val="24"/>
              </w:rPr>
              <w:t>。</w:t>
            </w:r>
          </w:p>
        </w:tc>
      </w:tr>
      <w:tr w:rsidR="00AE24A1" w:rsidRPr="00474D20" w14:paraId="2C93A9D8" w14:textId="77777777" w:rsidTr="002E5CA0">
        <w:trPr>
          <w:trHeight w:val="404"/>
        </w:trPr>
        <w:tc>
          <w:tcPr>
            <w:tcW w:w="1985" w:type="dxa"/>
            <w:vMerge/>
            <w:shd w:val="clear" w:color="auto" w:fill="D9D9D9"/>
            <w:vAlign w:val="center"/>
          </w:tcPr>
          <w:p w14:paraId="77E6525F" w14:textId="77777777" w:rsidR="00AE24A1" w:rsidRPr="005368A9" w:rsidRDefault="00AE24A1" w:rsidP="00AE24A1">
            <w:pPr>
              <w:rPr>
                <w:rFonts w:ascii="Times New Roman" w:hAnsi="Times New Roman"/>
                <w:b/>
                <w:bCs/>
                <w:sz w:val="24"/>
                <w:szCs w:val="24"/>
              </w:rPr>
            </w:pPr>
          </w:p>
        </w:tc>
        <w:tc>
          <w:tcPr>
            <w:tcW w:w="2192" w:type="dxa"/>
          </w:tcPr>
          <w:p w14:paraId="59F2FCBF" w14:textId="25B51E92" w:rsidR="00AE24A1" w:rsidRPr="007D5263" w:rsidRDefault="00AE24A1" w:rsidP="00AE24A1">
            <w:pPr>
              <w:pStyle w:val="ad"/>
              <w:numPr>
                <w:ilvl w:val="0"/>
                <w:numId w:val="20"/>
              </w:numPr>
              <w:spacing w:beforeLines="50" w:before="156" w:afterLines="50" w:after="156"/>
              <w:ind w:firstLineChars="0"/>
              <w:rPr>
                <w:rFonts w:ascii="Times New Roman" w:eastAsia="仿宋_GB2312" w:hAnsi="Times New Roman"/>
                <w:sz w:val="24"/>
                <w:szCs w:val="24"/>
              </w:rPr>
            </w:pPr>
            <w:r w:rsidRPr="00203C46">
              <w:rPr>
                <w:rFonts w:ascii="Times New Roman" w:hAnsi="Times New Roman" w:hint="eastAsia"/>
                <w:sz w:val="24"/>
                <w:szCs w:val="24"/>
              </w:rPr>
              <w:t>汽车电池公司</w:t>
            </w:r>
          </w:p>
        </w:tc>
        <w:tc>
          <w:tcPr>
            <w:tcW w:w="5321" w:type="dxa"/>
          </w:tcPr>
          <w:p w14:paraId="45C7B9E9" w14:textId="7023C5BB" w:rsidR="00AE24A1" w:rsidRDefault="00AE24A1" w:rsidP="00AE24A1">
            <w:pPr>
              <w:widowControl/>
              <w:adjustRightInd w:val="0"/>
              <w:snapToGrid w:val="0"/>
              <w:spacing w:beforeLines="50" w:before="156" w:afterLines="50" w:after="156"/>
              <w:rPr>
                <w:rFonts w:ascii="Times New Roman" w:hAnsi="Times New Roman"/>
                <w:color w:val="000000"/>
                <w:sz w:val="24"/>
                <w:szCs w:val="24"/>
              </w:rPr>
            </w:pPr>
            <w:r w:rsidRPr="00203C46">
              <w:rPr>
                <w:rFonts w:ascii="Times New Roman" w:hAnsi="Times New Roman" w:hint="eastAsia"/>
                <w:sz w:val="24"/>
                <w:szCs w:val="24"/>
              </w:rPr>
              <w:t>汽车电池公司</w:t>
            </w:r>
            <w:r w:rsidRPr="008044D7">
              <w:rPr>
                <w:rFonts w:ascii="Times New Roman" w:hAnsi="Times New Roman" w:hint="eastAsia"/>
                <w:color w:val="000000"/>
                <w:sz w:val="24"/>
                <w:szCs w:val="24"/>
              </w:rPr>
              <w:t>于</w:t>
            </w:r>
            <w:r>
              <w:rPr>
                <w:rFonts w:ascii="Times New Roman" w:hAnsi="Times New Roman"/>
                <w:color w:val="000000"/>
                <w:sz w:val="24"/>
                <w:szCs w:val="24"/>
              </w:rPr>
              <w:t>2020</w:t>
            </w:r>
            <w:r w:rsidRPr="008044D7">
              <w:rPr>
                <w:rFonts w:ascii="Times New Roman" w:hAnsi="Times New Roman" w:hint="eastAsia"/>
                <w:color w:val="000000"/>
                <w:sz w:val="24"/>
                <w:szCs w:val="24"/>
              </w:rPr>
              <w:t>年</w:t>
            </w:r>
            <w:r>
              <w:rPr>
                <w:rFonts w:ascii="Times New Roman" w:hAnsi="Times New Roman" w:hint="eastAsia"/>
                <w:color w:val="000000"/>
                <w:sz w:val="24"/>
                <w:szCs w:val="24"/>
              </w:rPr>
              <w:t>6</w:t>
            </w:r>
            <w:r w:rsidRPr="008044D7">
              <w:rPr>
                <w:rFonts w:ascii="Times New Roman" w:hAnsi="Times New Roman" w:hint="eastAsia"/>
                <w:color w:val="000000"/>
                <w:sz w:val="24"/>
                <w:szCs w:val="24"/>
              </w:rPr>
              <w:t>月</w:t>
            </w:r>
            <w:r>
              <w:rPr>
                <w:rFonts w:ascii="Times New Roman" w:hAnsi="Times New Roman" w:hint="eastAsia"/>
                <w:color w:val="000000"/>
                <w:sz w:val="24"/>
                <w:szCs w:val="24"/>
              </w:rPr>
              <w:t>2</w:t>
            </w:r>
            <w:r>
              <w:rPr>
                <w:rFonts w:ascii="Times New Roman" w:hAnsi="Times New Roman"/>
                <w:color w:val="000000"/>
                <w:sz w:val="24"/>
                <w:szCs w:val="24"/>
              </w:rPr>
              <w:t>9</w:t>
            </w:r>
            <w:r w:rsidRPr="008044D7">
              <w:rPr>
                <w:rFonts w:ascii="Times New Roman" w:hAnsi="Times New Roman" w:hint="eastAsia"/>
                <w:color w:val="000000"/>
                <w:sz w:val="24"/>
                <w:szCs w:val="24"/>
              </w:rPr>
              <w:t>日</w:t>
            </w:r>
            <w:r w:rsidRPr="00474D20">
              <w:rPr>
                <w:rFonts w:ascii="Times New Roman" w:hAnsi="Times New Roman"/>
                <w:bCs/>
                <w:color w:val="000000"/>
                <w:kern w:val="0"/>
                <w:sz w:val="24"/>
                <w:szCs w:val="24"/>
                <w:lang w:bidi="ar-AE"/>
              </w:rPr>
              <w:t>成立于</w:t>
            </w:r>
            <w:r>
              <w:rPr>
                <w:rFonts w:ascii="Times New Roman" w:hAnsi="Times New Roman" w:hint="eastAsia"/>
                <w:color w:val="000000"/>
                <w:sz w:val="24"/>
                <w:szCs w:val="24"/>
              </w:rPr>
              <w:t>法国</w:t>
            </w:r>
            <w:r w:rsidR="00A30F75">
              <w:rPr>
                <w:rFonts w:ascii="Times New Roman" w:hAnsi="Times New Roman" w:hint="eastAsia"/>
                <w:color w:val="000000"/>
                <w:sz w:val="24"/>
                <w:szCs w:val="24"/>
              </w:rPr>
              <w:t>，</w:t>
            </w:r>
            <w:r w:rsidR="00A30F75" w:rsidRPr="00AE24A1">
              <w:rPr>
                <w:rFonts w:ascii="Times New Roman" w:hAnsi="Times New Roman" w:hint="eastAsia"/>
                <w:sz w:val="24"/>
                <w:szCs w:val="24"/>
                <w:lang w:val="en-GB"/>
              </w:rPr>
              <w:t>主要</w:t>
            </w:r>
            <w:r w:rsidR="00A30F75">
              <w:rPr>
                <w:rFonts w:ascii="Times New Roman" w:hAnsi="Times New Roman" w:hint="eastAsia"/>
                <w:sz w:val="24"/>
                <w:szCs w:val="24"/>
                <w:lang w:val="en-GB"/>
              </w:rPr>
              <w:t>业务为</w:t>
            </w:r>
            <w:r w:rsidR="00266254">
              <w:rPr>
                <w:rFonts w:ascii="Times New Roman" w:hAnsi="Times New Roman" w:hint="eastAsia"/>
                <w:color w:val="000000"/>
                <w:sz w:val="24"/>
                <w:szCs w:val="24"/>
              </w:rPr>
              <w:t>电动</w:t>
            </w:r>
            <w:r w:rsidRPr="00AE24A1">
              <w:rPr>
                <w:rFonts w:ascii="Times New Roman" w:hAnsi="Times New Roman" w:hint="eastAsia"/>
                <w:color w:val="000000"/>
                <w:sz w:val="24"/>
                <w:szCs w:val="24"/>
              </w:rPr>
              <w:t>汽车用锂离子电池的开发、制造和供应</w:t>
            </w:r>
            <w:r w:rsidRPr="008044D7">
              <w:rPr>
                <w:rFonts w:ascii="Times New Roman" w:hAnsi="Times New Roman" w:hint="eastAsia"/>
                <w:color w:val="000000"/>
                <w:sz w:val="24"/>
                <w:szCs w:val="24"/>
              </w:rPr>
              <w:t>。</w:t>
            </w:r>
          </w:p>
          <w:p w14:paraId="59D71D80" w14:textId="00134381" w:rsidR="00AE24A1" w:rsidRPr="008044D7" w:rsidRDefault="00AE24A1" w:rsidP="00AE24A1">
            <w:pPr>
              <w:widowControl/>
              <w:adjustRightInd w:val="0"/>
              <w:snapToGrid w:val="0"/>
              <w:spacing w:beforeLines="50" w:before="156" w:afterLines="50" w:after="156"/>
              <w:rPr>
                <w:rFonts w:ascii="Times New Roman" w:hAnsi="Times New Roman"/>
                <w:color w:val="000000"/>
                <w:sz w:val="24"/>
                <w:szCs w:val="24"/>
              </w:rPr>
            </w:pPr>
            <w:r w:rsidRPr="00203C46">
              <w:rPr>
                <w:rFonts w:ascii="Times New Roman" w:hAnsi="Times New Roman" w:hint="eastAsia"/>
                <w:sz w:val="24"/>
                <w:szCs w:val="24"/>
              </w:rPr>
              <w:t>汽车电池公司</w:t>
            </w:r>
            <w:r w:rsidRPr="008044D7">
              <w:rPr>
                <w:rFonts w:ascii="Times New Roman" w:hAnsi="Times New Roman" w:hint="eastAsia"/>
                <w:color w:val="000000"/>
                <w:sz w:val="24"/>
                <w:szCs w:val="24"/>
              </w:rPr>
              <w:t>的最终控制人</w:t>
            </w:r>
            <w:r w:rsidR="00221094">
              <w:rPr>
                <w:rFonts w:ascii="Times New Roman" w:hAnsi="Times New Roman" w:hint="eastAsia"/>
                <w:color w:val="000000"/>
                <w:sz w:val="24"/>
                <w:szCs w:val="24"/>
              </w:rPr>
              <w:t>为</w:t>
            </w:r>
            <w:r w:rsidRPr="00AE24A1">
              <w:rPr>
                <w:rFonts w:ascii="Times New Roman" w:hAnsi="Times New Roman" w:hint="eastAsia"/>
                <w:color w:val="000000"/>
                <w:sz w:val="24"/>
                <w:szCs w:val="24"/>
              </w:rPr>
              <w:t>梅赛德斯</w:t>
            </w:r>
            <w:r w:rsidRPr="00AE24A1">
              <w:rPr>
                <w:rFonts w:ascii="Times New Roman" w:hAnsi="Times New Roman" w:hint="eastAsia"/>
                <w:color w:val="000000"/>
                <w:sz w:val="24"/>
                <w:szCs w:val="24"/>
              </w:rPr>
              <w:t>-</w:t>
            </w:r>
            <w:r w:rsidRPr="00AE24A1">
              <w:rPr>
                <w:rFonts w:ascii="Times New Roman" w:hAnsi="Times New Roman" w:hint="eastAsia"/>
                <w:color w:val="000000"/>
                <w:sz w:val="24"/>
                <w:szCs w:val="24"/>
              </w:rPr>
              <w:t>奔驰集团</w:t>
            </w:r>
            <w:r>
              <w:rPr>
                <w:rFonts w:ascii="Times New Roman" w:hAnsi="Times New Roman" w:hint="eastAsia"/>
                <w:color w:val="000000"/>
                <w:sz w:val="24"/>
                <w:szCs w:val="24"/>
              </w:rPr>
              <w:t>、</w:t>
            </w:r>
            <w:r w:rsidRPr="00AE24A1">
              <w:rPr>
                <w:rFonts w:ascii="Times New Roman" w:hAnsi="Times New Roman"/>
                <w:color w:val="000000"/>
                <w:sz w:val="24"/>
                <w:szCs w:val="24"/>
              </w:rPr>
              <w:t>Stellantis</w:t>
            </w:r>
            <w:r>
              <w:rPr>
                <w:rFonts w:ascii="Times New Roman" w:hAnsi="Times New Roman" w:hint="eastAsia"/>
                <w:color w:val="000000"/>
                <w:sz w:val="24"/>
                <w:szCs w:val="24"/>
              </w:rPr>
              <w:t>和</w:t>
            </w:r>
            <w:r w:rsidRPr="00AE24A1">
              <w:rPr>
                <w:rFonts w:ascii="Times New Roman" w:hAnsi="Times New Roman" w:hint="eastAsia"/>
                <w:color w:val="000000"/>
                <w:sz w:val="24"/>
                <w:szCs w:val="24"/>
              </w:rPr>
              <w:t>道达尔能源股份公司（“道达尔能</w:t>
            </w:r>
            <w:r w:rsidRPr="00AE24A1">
              <w:rPr>
                <w:rFonts w:ascii="Times New Roman" w:hAnsi="Times New Roman" w:hint="eastAsia"/>
                <w:color w:val="000000"/>
                <w:sz w:val="24"/>
                <w:szCs w:val="24"/>
              </w:rPr>
              <w:lastRenderedPageBreak/>
              <w:t>源”</w:t>
            </w:r>
            <w:r>
              <w:rPr>
                <w:rFonts w:ascii="Times New Roman" w:hAnsi="Times New Roman" w:hint="eastAsia"/>
                <w:color w:val="000000"/>
                <w:sz w:val="24"/>
                <w:szCs w:val="24"/>
              </w:rPr>
              <w:t>）</w:t>
            </w:r>
            <w:r w:rsidR="00AE5C90">
              <w:rPr>
                <w:rFonts w:ascii="Times New Roman" w:hAnsi="Times New Roman" w:hint="eastAsia"/>
                <w:color w:val="000000"/>
                <w:sz w:val="24"/>
                <w:szCs w:val="24"/>
              </w:rPr>
              <w:t>。</w:t>
            </w:r>
            <w:r w:rsidR="00AE5C90" w:rsidRPr="00AE24A1">
              <w:rPr>
                <w:rFonts w:ascii="Times New Roman" w:hAnsi="Times New Roman" w:hint="eastAsia"/>
                <w:color w:val="000000"/>
                <w:sz w:val="24"/>
                <w:szCs w:val="24"/>
              </w:rPr>
              <w:t>梅赛德斯</w:t>
            </w:r>
            <w:r w:rsidR="00AE5C90" w:rsidRPr="00AE24A1">
              <w:rPr>
                <w:rFonts w:ascii="Times New Roman" w:hAnsi="Times New Roman" w:hint="eastAsia"/>
                <w:color w:val="000000"/>
                <w:sz w:val="24"/>
                <w:szCs w:val="24"/>
              </w:rPr>
              <w:t>-</w:t>
            </w:r>
            <w:r w:rsidR="00AE5C90" w:rsidRPr="00AE24A1">
              <w:rPr>
                <w:rFonts w:ascii="Times New Roman" w:hAnsi="Times New Roman" w:hint="eastAsia"/>
                <w:color w:val="000000"/>
                <w:sz w:val="24"/>
                <w:szCs w:val="24"/>
              </w:rPr>
              <w:t>奔驰集团</w:t>
            </w:r>
            <w:r w:rsidR="00AE5C90">
              <w:rPr>
                <w:rFonts w:ascii="Times New Roman" w:hAnsi="Times New Roman" w:hint="eastAsia"/>
                <w:color w:val="000000"/>
                <w:sz w:val="24"/>
                <w:szCs w:val="24"/>
              </w:rPr>
              <w:t>和</w:t>
            </w:r>
            <w:r w:rsidR="00AE5C90" w:rsidRPr="00AE24A1">
              <w:rPr>
                <w:rFonts w:ascii="Times New Roman" w:hAnsi="Times New Roman"/>
                <w:color w:val="000000"/>
                <w:sz w:val="24"/>
                <w:szCs w:val="24"/>
              </w:rPr>
              <w:t>Stellantis</w:t>
            </w:r>
            <w:r w:rsidR="00AE5C90">
              <w:rPr>
                <w:rFonts w:ascii="Times New Roman" w:hAnsi="Times New Roman" w:hint="eastAsia"/>
                <w:color w:val="000000"/>
                <w:sz w:val="24"/>
                <w:szCs w:val="24"/>
              </w:rPr>
              <w:t>的主营业务</w:t>
            </w:r>
            <w:r w:rsidR="00266254">
              <w:rPr>
                <w:rFonts w:ascii="Times New Roman" w:hAnsi="Times New Roman" w:hint="eastAsia"/>
                <w:color w:val="000000"/>
                <w:sz w:val="24"/>
                <w:szCs w:val="24"/>
              </w:rPr>
              <w:t>如上所述</w:t>
            </w:r>
            <w:r w:rsidR="00AE5C90">
              <w:rPr>
                <w:rFonts w:ascii="Times New Roman" w:hAnsi="Times New Roman" w:hint="eastAsia"/>
                <w:color w:val="000000"/>
                <w:sz w:val="24"/>
                <w:szCs w:val="24"/>
              </w:rPr>
              <w:t>。</w:t>
            </w:r>
            <w:r w:rsidR="00AE5C90" w:rsidRPr="00AE5C90">
              <w:rPr>
                <w:rFonts w:ascii="Times New Roman" w:hAnsi="Times New Roman" w:hint="eastAsia"/>
                <w:color w:val="000000"/>
                <w:sz w:val="24"/>
                <w:szCs w:val="24"/>
              </w:rPr>
              <w:t>道达尔能源</w:t>
            </w:r>
            <w:r w:rsidR="00A30F75">
              <w:rPr>
                <w:rFonts w:ascii="Times New Roman" w:hAnsi="Times New Roman" w:hint="eastAsia"/>
                <w:color w:val="000000"/>
                <w:sz w:val="24"/>
                <w:szCs w:val="24"/>
              </w:rPr>
              <w:t>的</w:t>
            </w:r>
            <w:r w:rsidR="00A30F75" w:rsidRPr="00AE24A1">
              <w:rPr>
                <w:rFonts w:ascii="Times New Roman" w:hAnsi="Times New Roman" w:hint="eastAsia"/>
                <w:sz w:val="24"/>
                <w:szCs w:val="24"/>
                <w:lang w:val="en-GB"/>
              </w:rPr>
              <w:t>主要</w:t>
            </w:r>
            <w:r w:rsidR="00A30F75">
              <w:rPr>
                <w:rFonts w:ascii="Times New Roman" w:hAnsi="Times New Roman" w:hint="eastAsia"/>
                <w:sz w:val="24"/>
                <w:szCs w:val="24"/>
                <w:lang w:val="en-GB"/>
              </w:rPr>
              <w:t>业务为</w:t>
            </w:r>
            <w:r w:rsidR="00AE5C90" w:rsidRPr="00AE5C90">
              <w:rPr>
                <w:rFonts w:ascii="Times New Roman" w:hAnsi="Times New Roman" w:hint="eastAsia"/>
                <w:color w:val="000000"/>
                <w:sz w:val="24"/>
                <w:szCs w:val="24"/>
              </w:rPr>
              <w:t>石油和天然气行业</w:t>
            </w:r>
            <w:r w:rsidR="00DB7B34">
              <w:rPr>
                <w:rFonts w:ascii="Times New Roman" w:hAnsi="Times New Roman" w:hint="eastAsia"/>
                <w:color w:val="000000"/>
                <w:sz w:val="24"/>
                <w:szCs w:val="24"/>
              </w:rPr>
              <w:t>业务</w:t>
            </w:r>
            <w:r w:rsidR="00266254">
              <w:rPr>
                <w:rFonts w:ascii="Times New Roman" w:hAnsi="Times New Roman" w:hint="eastAsia"/>
                <w:color w:val="000000"/>
                <w:sz w:val="24"/>
                <w:szCs w:val="24"/>
              </w:rPr>
              <w:t>，</w:t>
            </w:r>
            <w:r w:rsidR="00266254" w:rsidRPr="00266254">
              <w:rPr>
                <w:rFonts w:ascii="Times New Roman" w:hAnsi="Times New Roman" w:hint="eastAsia"/>
                <w:color w:val="000000"/>
                <w:sz w:val="24"/>
                <w:szCs w:val="24"/>
              </w:rPr>
              <w:t>包括上游市场（油气勘探、开发和生产）和下游市场（炼油、石油化工、特种化学品、原油和石油产品的贸易和运输以及营销）</w:t>
            </w:r>
            <w:r w:rsidR="00266254">
              <w:rPr>
                <w:rFonts w:ascii="Times New Roman" w:hAnsi="Times New Roman" w:hint="eastAsia"/>
                <w:color w:val="000000"/>
                <w:sz w:val="24"/>
                <w:szCs w:val="24"/>
              </w:rPr>
              <w:t>，以</w:t>
            </w:r>
            <w:r w:rsidR="00266254" w:rsidRPr="00266254">
              <w:rPr>
                <w:rFonts w:ascii="Times New Roman" w:hAnsi="Times New Roman" w:hint="eastAsia"/>
                <w:color w:val="000000"/>
                <w:sz w:val="24"/>
                <w:szCs w:val="24"/>
              </w:rPr>
              <w:t>及可再生能源、发电</w:t>
            </w:r>
            <w:r w:rsidR="0074396E">
              <w:rPr>
                <w:rFonts w:ascii="Times New Roman" w:hAnsi="Times New Roman" w:hint="eastAsia"/>
                <w:color w:val="000000"/>
                <w:sz w:val="24"/>
                <w:szCs w:val="24"/>
              </w:rPr>
              <w:t>业务</w:t>
            </w:r>
            <w:r w:rsidR="00266254" w:rsidRPr="00266254">
              <w:rPr>
                <w:rFonts w:ascii="Times New Roman" w:hAnsi="Times New Roman" w:hint="eastAsia"/>
                <w:color w:val="000000"/>
                <w:sz w:val="24"/>
                <w:szCs w:val="24"/>
              </w:rPr>
              <w:t>和碳中和业务</w:t>
            </w:r>
            <w:r w:rsidR="00DB7B34">
              <w:rPr>
                <w:rFonts w:ascii="Times New Roman" w:hAnsi="Times New Roman" w:hint="eastAsia"/>
                <w:color w:val="000000"/>
                <w:sz w:val="24"/>
                <w:szCs w:val="24"/>
              </w:rPr>
              <w:t>。</w:t>
            </w:r>
          </w:p>
        </w:tc>
      </w:tr>
      <w:tr w:rsidR="00AE24A1" w:rsidRPr="00474D20" w14:paraId="779A4BF3" w14:textId="77777777" w:rsidTr="002E5CA0">
        <w:trPr>
          <w:trHeight w:val="279"/>
        </w:trPr>
        <w:tc>
          <w:tcPr>
            <w:tcW w:w="1985" w:type="dxa"/>
            <w:vMerge w:val="restart"/>
            <w:shd w:val="clear" w:color="auto" w:fill="D9D9D9"/>
            <w:vAlign w:val="center"/>
          </w:tcPr>
          <w:p w14:paraId="29B44194" w14:textId="77777777" w:rsidR="00AE24A1" w:rsidRPr="005368A9" w:rsidRDefault="00AE24A1" w:rsidP="00AE24A1">
            <w:pPr>
              <w:rPr>
                <w:rFonts w:ascii="Times New Roman" w:hAnsi="Times New Roman"/>
                <w:b/>
                <w:bCs/>
                <w:sz w:val="24"/>
                <w:szCs w:val="24"/>
              </w:rPr>
            </w:pPr>
            <w:r w:rsidRPr="005368A9">
              <w:rPr>
                <w:rFonts w:ascii="Times New Roman" w:hAnsi="Times New Roman"/>
                <w:b/>
                <w:bCs/>
                <w:sz w:val="24"/>
                <w:szCs w:val="24"/>
              </w:rPr>
              <w:lastRenderedPageBreak/>
              <w:t>简易案件理由（可以单选，也可以多选）</w:t>
            </w:r>
          </w:p>
        </w:tc>
        <w:tc>
          <w:tcPr>
            <w:tcW w:w="7513" w:type="dxa"/>
            <w:gridSpan w:val="2"/>
            <w:vAlign w:val="center"/>
          </w:tcPr>
          <w:p w14:paraId="03448B22" w14:textId="5B8760F2" w:rsidR="00AE24A1" w:rsidRPr="00474D20" w:rsidRDefault="00AE24A1" w:rsidP="00AE24A1">
            <w:pPr>
              <w:rPr>
                <w:rFonts w:ascii="Times New Roman" w:hAnsi="Times New Roman"/>
                <w:sz w:val="24"/>
                <w:szCs w:val="24"/>
              </w:rPr>
            </w:pPr>
            <w:r w:rsidRPr="00474D20">
              <w:rPr>
                <w:rFonts w:ascii="Times New Roman" w:hAnsi="Times New Roman"/>
                <w:sz w:val="24"/>
                <w:szCs w:val="24"/>
                <w:lang w:val="en-GB"/>
              </w:rPr>
              <w:sym w:font="Wingdings" w:char="F0A8"/>
            </w:r>
            <w:r w:rsidRPr="00474D20">
              <w:rPr>
                <w:rFonts w:ascii="Times New Roman" w:hAnsi="Times New Roman"/>
                <w:sz w:val="24"/>
                <w:szCs w:val="24"/>
              </w:rPr>
              <w:t>1</w:t>
            </w:r>
            <w:r w:rsidRPr="00474D20">
              <w:rPr>
                <w:rFonts w:ascii="Times New Roman" w:hAnsi="Times New Roman"/>
                <w:sz w:val="24"/>
                <w:szCs w:val="24"/>
              </w:rPr>
              <w:t>、在同一相关市场，所有参与集中的经营者所占市场份额之和小于</w:t>
            </w:r>
            <w:r w:rsidRPr="00474D20">
              <w:rPr>
                <w:rFonts w:ascii="Times New Roman" w:hAnsi="Times New Roman"/>
                <w:sz w:val="24"/>
                <w:szCs w:val="24"/>
              </w:rPr>
              <w:t>15%</w:t>
            </w:r>
            <w:r w:rsidRPr="00474D20">
              <w:rPr>
                <w:rFonts w:ascii="Times New Roman" w:hAnsi="Times New Roman"/>
                <w:sz w:val="24"/>
                <w:szCs w:val="24"/>
              </w:rPr>
              <w:t>。</w:t>
            </w:r>
          </w:p>
        </w:tc>
      </w:tr>
      <w:tr w:rsidR="00AE24A1" w:rsidRPr="00474D20" w14:paraId="084D7D28" w14:textId="77777777" w:rsidTr="002E5CA0">
        <w:trPr>
          <w:trHeight w:val="330"/>
        </w:trPr>
        <w:tc>
          <w:tcPr>
            <w:tcW w:w="1985" w:type="dxa"/>
            <w:vMerge/>
            <w:shd w:val="clear" w:color="auto" w:fill="D9D9D9"/>
            <w:vAlign w:val="center"/>
          </w:tcPr>
          <w:p w14:paraId="756096BF" w14:textId="77777777" w:rsidR="00AE24A1" w:rsidRPr="005368A9" w:rsidRDefault="00AE24A1" w:rsidP="00AE24A1">
            <w:pPr>
              <w:rPr>
                <w:rFonts w:ascii="Times New Roman" w:hAnsi="Times New Roman"/>
                <w:b/>
                <w:bCs/>
                <w:sz w:val="24"/>
                <w:szCs w:val="24"/>
              </w:rPr>
            </w:pPr>
          </w:p>
        </w:tc>
        <w:tc>
          <w:tcPr>
            <w:tcW w:w="7513" w:type="dxa"/>
            <w:gridSpan w:val="2"/>
            <w:vAlign w:val="center"/>
          </w:tcPr>
          <w:p w14:paraId="15841CB1" w14:textId="4E847201" w:rsidR="00AE24A1" w:rsidRPr="00474D20" w:rsidRDefault="00AE24A1" w:rsidP="00AE24A1">
            <w:pPr>
              <w:rPr>
                <w:rFonts w:ascii="Times New Roman" w:hAnsi="Times New Roman"/>
                <w:sz w:val="24"/>
                <w:szCs w:val="24"/>
              </w:rPr>
            </w:pPr>
            <w:r w:rsidRPr="00474D20">
              <w:rPr>
                <w:rFonts w:ascii="Times New Roman" w:hAnsi="Times New Roman"/>
                <w:sz w:val="24"/>
                <w:szCs w:val="24"/>
                <w:lang w:val="en-GB"/>
              </w:rPr>
              <w:sym w:font="Wingdings" w:char="F0A8"/>
            </w:r>
            <w:r w:rsidRPr="00474D20">
              <w:rPr>
                <w:rFonts w:ascii="Times New Roman" w:hAnsi="Times New Roman"/>
                <w:sz w:val="24"/>
                <w:szCs w:val="24"/>
              </w:rPr>
              <w:t>2</w:t>
            </w:r>
            <w:r w:rsidRPr="00474D20">
              <w:rPr>
                <w:rFonts w:ascii="Times New Roman" w:hAnsi="Times New Roman"/>
                <w:sz w:val="24"/>
                <w:szCs w:val="24"/>
              </w:rPr>
              <w:t>、存在上下游关系的参与集中的经营者，在上下游市场所占的市场份额均小于</w:t>
            </w:r>
            <w:r w:rsidRPr="00474D20">
              <w:rPr>
                <w:rFonts w:ascii="Times New Roman" w:hAnsi="Times New Roman"/>
                <w:sz w:val="24"/>
                <w:szCs w:val="24"/>
              </w:rPr>
              <w:t>25%</w:t>
            </w:r>
            <w:r w:rsidRPr="00474D20">
              <w:rPr>
                <w:rFonts w:ascii="Times New Roman" w:hAnsi="Times New Roman"/>
                <w:sz w:val="24"/>
                <w:szCs w:val="24"/>
              </w:rPr>
              <w:t>。</w:t>
            </w:r>
          </w:p>
        </w:tc>
      </w:tr>
      <w:tr w:rsidR="00AE24A1" w:rsidRPr="00474D20" w14:paraId="333A6FC0" w14:textId="77777777" w:rsidTr="002E5CA0">
        <w:trPr>
          <w:trHeight w:val="285"/>
        </w:trPr>
        <w:tc>
          <w:tcPr>
            <w:tcW w:w="1985" w:type="dxa"/>
            <w:vMerge/>
            <w:shd w:val="clear" w:color="auto" w:fill="D9D9D9"/>
            <w:vAlign w:val="center"/>
          </w:tcPr>
          <w:p w14:paraId="1FC72C9E" w14:textId="77777777" w:rsidR="00AE24A1" w:rsidRPr="005368A9" w:rsidRDefault="00AE24A1" w:rsidP="00AE24A1">
            <w:pPr>
              <w:rPr>
                <w:rFonts w:ascii="Times New Roman" w:hAnsi="Times New Roman"/>
                <w:b/>
                <w:bCs/>
                <w:sz w:val="24"/>
                <w:szCs w:val="24"/>
              </w:rPr>
            </w:pPr>
          </w:p>
        </w:tc>
        <w:tc>
          <w:tcPr>
            <w:tcW w:w="7513" w:type="dxa"/>
            <w:gridSpan w:val="2"/>
            <w:vAlign w:val="center"/>
          </w:tcPr>
          <w:p w14:paraId="37076F02" w14:textId="2A5A974A" w:rsidR="00AE24A1" w:rsidRPr="00474D20" w:rsidRDefault="00AE24A1" w:rsidP="00AE24A1">
            <w:pPr>
              <w:rPr>
                <w:rFonts w:ascii="Times New Roman" w:hAnsi="Times New Roman"/>
                <w:sz w:val="24"/>
                <w:szCs w:val="24"/>
              </w:rPr>
            </w:pPr>
            <w:r w:rsidRPr="00474D20">
              <w:rPr>
                <w:rFonts w:ascii="Times New Roman" w:hAnsi="Times New Roman"/>
                <w:sz w:val="24"/>
                <w:szCs w:val="24"/>
                <w:lang w:val="en-GB"/>
              </w:rPr>
              <w:sym w:font="Wingdings" w:char="F0A8"/>
            </w:r>
            <w:r w:rsidRPr="00474D20">
              <w:rPr>
                <w:rFonts w:ascii="Times New Roman" w:hAnsi="Times New Roman"/>
                <w:sz w:val="24"/>
                <w:szCs w:val="24"/>
              </w:rPr>
              <w:t>3</w:t>
            </w:r>
            <w:r w:rsidRPr="00474D20">
              <w:rPr>
                <w:rFonts w:ascii="Times New Roman" w:hAnsi="Times New Roman"/>
                <w:sz w:val="24"/>
                <w:szCs w:val="24"/>
              </w:rPr>
              <w:t>、不在同一相关市场、也不存在上下游关系的参与集中的经营者，在与交易有关的每个市场所占的份额均小于</w:t>
            </w:r>
            <w:r w:rsidRPr="00474D20">
              <w:rPr>
                <w:rFonts w:ascii="Times New Roman" w:hAnsi="Times New Roman"/>
                <w:sz w:val="24"/>
                <w:szCs w:val="24"/>
              </w:rPr>
              <w:t>25%</w:t>
            </w:r>
            <w:r w:rsidRPr="00474D20">
              <w:rPr>
                <w:rFonts w:ascii="Times New Roman" w:hAnsi="Times New Roman"/>
                <w:sz w:val="24"/>
                <w:szCs w:val="24"/>
              </w:rPr>
              <w:t>。</w:t>
            </w:r>
          </w:p>
        </w:tc>
      </w:tr>
      <w:tr w:rsidR="00AE24A1" w:rsidRPr="00474D20" w14:paraId="53C0D8DE" w14:textId="77777777" w:rsidTr="002E5CA0">
        <w:trPr>
          <w:trHeight w:val="870"/>
        </w:trPr>
        <w:tc>
          <w:tcPr>
            <w:tcW w:w="1985" w:type="dxa"/>
            <w:vMerge/>
            <w:shd w:val="clear" w:color="auto" w:fill="D9D9D9"/>
            <w:vAlign w:val="center"/>
          </w:tcPr>
          <w:p w14:paraId="63DDF24A" w14:textId="77777777" w:rsidR="00AE24A1" w:rsidRPr="005368A9" w:rsidRDefault="00AE24A1" w:rsidP="00AE24A1">
            <w:pPr>
              <w:rPr>
                <w:rFonts w:ascii="Times New Roman" w:hAnsi="Times New Roman"/>
                <w:b/>
                <w:bCs/>
                <w:sz w:val="24"/>
                <w:szCs w:val="24"/>
              </w:rPr>
            </w:pPr>
          </w:p>
        </w:tc>
        <w:tc>
          <w:tcPr>
            <w:tcW w:w="7513" w:type="dxa"/>
            <w:gridSpan w:val="2"/>
            <w:vAlign w:val="center"/>
          </w:tcPr>
          <w:p w14:paraId="54A4DD0B" w14:textId="19969597" w:rsidR="00AE24A1" w:rsidRPr="00474D20" w:rsidRDefault="00AE24A1" w:rsidP="00AE24A1">
            <w:pPr>
              <w:rPr>
                <w:rFonts w:ascii="Times New Roman" w:hAnsi="Times New Roman"/>
                <w:sz w:val="24"/>
                <w:szCs w:val="24"/>
              </w:rPr>
            </w:pPr>
            <w:r w:rsidRPr="00474D20">
              <w:rPr>
                <w:rFonts w:ascii="Times New Roman" w:hAnsi="Times New Roman"/>
                <w:sz w:val="24"/>
                <w:szCs w:val="24"/>
                <w:lang w:val="en-GB"/>
              </w:rPr>
              <w:sym w:font="Wingdings" w:char="F0A8"/>
            </w:r>
            <w:r w:rsidRPr="00474D20">
              <w:rPr>
                <w:rFonts w:ascii="Times New Roman" w:hAnsi="Times New Roman"/>
                <w:sz w:val="24"/>
                <w:szCs w:val="24"/>
              </w:rPr>
              <w:t>4</w:t>
            </w:r>
            <w:r w:rsidRPr="00474D20">
              <w:rPr>
                <w:rFonts w:ascii="Times New Roman" w:hAnsi="Times New Roman"/>
                <w:sz w:val="24"/>
                <w:szCs w:val="24"/>
              </w:rPr>
              <w:t>、参与集中的经营者在中国境外设立合营企业，合营企业不在中国境内从事经济活动。</w:t>
            </w:r>
          </w:p>
        </w:tc>
      </w:tr>
      <w:tr w:rsidR="00AE24A1" w:rsidRPr="00474D20" w14:paraId="6805632B" w14:textId="77777777" w:rsidTr="002E5CA0">
        <w:trPr>
          <w:trHeight w:val="264"/>
        </w:trPr>
        <w:tc>
          <w:tcPr>
            <w:tcW w:w="1985" w:type="dxa"/>
            <w:vMerge/>
            <w:shd w:val="clear" w:color="auto" w:fill="D9D9D9"/>
            <w:vAlign w:val="center"/>
          </w:tcPr>
          <w:p w14:paraId="284CAFBD" w14:textId="77777777" w:rsidR="00AE24A1" w:rsidRPr="005368A9" w:rsidRDefault="00AE24A1" w:rsidP="00AE24A1">
            <w:pPr>
              <w:rPr>
                <w:rFonts w:ascii="Times New Roman" w:hAnsi="Times New Roman"/>
                <w:b/>
                <w:bCs/>
                <w:sz w:val="24"/>
                <w:szCs w:val="24"/>
              </w:rPr>
            </w:pPr>
          </w:p>
        </w:tc>
        <w:tc>
          <w:tcPr>
            <w:tcW w:w="7513" w:type="dxa"/>
            <w:gridSpan w:val="2"/>
            <w:vAlign w:val="center"/>
          </w:tcPr>
          <w:p w14:paraId="20FEBF80" w14:textId="5E3D9C30" w:rsidR="00AE24A1" w:rsidRPr="00474D20" w:rsidRDefault="00AE24A1" w:rsidP="00AE24A1">
            <w:pPr>
              <w:rPr>
                <w:rFonts w:ascii="Times New Roman" w:hAnsi="Times New Roman"/>
                <w:sz w:val="24"/>
                <w:szCs w:val="24"/>
              </w:rPr>
            </w:pPr>
            <w:r w:rsidRPr="00FD4454">
              <w:rPr>
                <w:bCs/>
                <w:color w:val="000000"/>
                <w:sz w:val="24"/>
                <w:szCs w:val="28"/>
              </w:rPr>
              <w:sym w:font="Wingdings" w:char="00FE"/>
            </w:r>
            <w:r w:rsidRPr="00474D20">
              <w:rPr>
                <w:rFonts w:ascii="Times New Roman" w:hAnsi="Times New Roman"/>
                <w:sz w:val="24"/>
                <w:szCs w:val="24"/>
              </w:rPr>
              <w:t>5</w:t>
            </w:r>
            <w:r w:rsidRPr="00474D20">
              <w:rPr>
                <w:rFonts w:ascii="Times New Roman" w:hAnsi="Times New Roman"/>
                <w:sz w:val="24"/>
                <w:szCs w:val="24"/>
              </w:rPr>
              <w:t>、参与集中的经营者收购境外企业股权或资产的，该境外企业不在中国境内从事经济活动。</w:t>
            </w:r>
          </w:p>
        </w:tc>
      </w:tr>
      <w:tr w:rsidR="00AE24A1" w:rsidRPr="00474D20" w14:paraId="3F5B2633" w14:textId="77777777" w:rsidTr="002E5CA0">
        <w:trPr>
          <w:trHeight w:val="345"/>
        </w:trPr>
        <w:tc>
          <w:tcPr>
            <w:tcW w:w="1985" w:type="dxa"/>
            <w:vMerge/>
            <w:shd w:val="clear" w:color="auto" w:fill="D9D9D9"/>
            <w:vAlign w:val="center"/>
          </w:tcPr>
          <w:p w14:paraId="31BA6860" w14:textId="77777777" w:rsidR="00AE24A1" w:rsidRPr="005368A9" w:rsidRDefault="00AE24A1" w:rsidP="00AE24A1">
            <w:pPr>
              <w:rPr>
                <w:rFonts w:ascii="Times New Roman" w:hAnsi="Times New Roman"/>
                <w:b/>
                <w:bCs/>
                <w:sz w:val="24"/>
                <w:szCs w:val="24"/>
              </w:rPr>
            </w:pPr>
          </w:p>
        </w:tc>
        <w:tc>
          <w:tcPr>
            <w:tcW w:w="7513" w:type="dxa"/>
            <w:gridSpan w:val="2"/>
            <w:vAlign w:val="center"/>
          </w:tcPr>
          <w:p w14:paraId="5742F919" w14:textId="6D9C34E7" w:rsidR="00AE24A1" w:rsidRPr="00474D20" w:rsidRDefault="00D34A1D" w:rsidP="00AE24A1">
            <w:pPr>
              <w:rPr>
                <w:rFonts w:ascii="Times New Roman" w:hAnsi="Times New Roman"/>
                <w:sz w:val="24"/>
                <w:szCs w:val="24"/>
              </w:rPr>
            </w:pPr>
            <w:r w:rsidRPr="00FD4454">
              <w:rPr>
                <w:bCs/>
                <w:color w:val="000000"/>
                <w:sz w:val="24"/>
                <w:szCs w:val="28"/>
              </w:rPr>
              <w:sym w:font="Wingdings" w:char="00FE"/>
            </w:r>
            <w:r w:rsidR="00AE24A1" w:rsidRPr="00474D20">
              <w:rPr>
                <w:rFonts w:ascii="Times New Roman" w:hAnsi="Times New Roman"/>
                <w:sz w:val="24"/>
                <w:szCs w:val="24"/>
              </w:rPr>
              <w:t>6</w:t>
            </w:r>
            <w:r w:rsidR="00AE24A1" w:rsidRPr="00474D20">
              <w:rPr>
                <w:rFonts w:ascii="Times New Roman" w:hAnsi="Times New Roman"/>
                <w:sz w:val="24"/>
                <w:szCs w:val="24"/>
              </w:rPr>
              <w:t>、由两个以上的经营者共同控制的合营企业，通过集中被其中一个或一个以上经营者控制。</w:t>
            </w:r>
          </w:p>
        </w:tc>
      </w:tr>
      <w:tr w:rsidR="00AE24A1" w:rsidRPr="00474D20" w14:paraId="57C9DAD0" w14:textId="77777777" w:rsidTr="002E5CA0">
        <w:trPr>
          <w:trHeight w:val="500"/>
        </w:trPr>
        <w:tc>
          <w:tcPr>
            <w:tcW w:w="1985" w:type="dxa"/>
            <w:shd w:val="clear" w:color="auto" w:fill="D9D9D9"/>
            <w:vAlign w:val="center"/>
          </w:tcPr>
          <w:p w14:paraId="26D53E82" w14:textId="77777777" w:rsidR="00AE24A1" w:rsidRPr="005368A9" w:rsidRDefault="00AE24A1" w:rsidP="00AE24A1">
            <w:pPr>
              <w:rPr>
                <w:rFonts w:ascii="Times New Roman" w:hAnsi="Times New Roman"/>
                <w:b/>
                <w:bCs/>
                <w:sz w:val="24"/>
                <w:szCs w:val="24"/>
              </w:rPr>
            </w:pPr>
            <w:r w:rsidRPr="005368A9">
              <w:rPr>
                <w:rFonts w:ascii="Times New Roman" w:hAnsi="Times New Roman"/>
                <w:b/>
                <w:bCs/>
                <w:sz w:val="24"/>
                <w:szCs w:val="24"/>
              </w:rPr>
              <w:t>备注</w:t>
            </w:r>
          </w:p>
        </w:tc>
        <w:tc>
          <w:tcPr>
            <w:tcW w:w="7513" w:type="dxa"/>
            <w:gridSpan w:val="2"/>
          </w:tcPr>
          <w:p w14:paraId="7F4D6934" w14:textId="6C98F30C" w:rsidR="00AE24A1" w:rsidRPr="0050245F" w:rsidRDefault="00AE24A1" w:rsidP="00AE24A1">
            <w:pPr>
              <w:pStyle w:val="ad"/>
              <w:ind w:firstLineChars="0" w:firstLine="0"/>
              <w:rPr>
                <w:rFonts w:ascii="Times New Roman" w:hAnsi="Times New Roman"/>
                <w:sz w:val="24"/>
                <w:szCs w:val="24"/>
              </w:rPr>
            </w:pPr>
            <w:r w:rsidRPr="0050245F">
              <w:rPr>
                <w:rFonts w:ascii="Times New Roman" w:hAnsi="Times New Roman" w:hint="eastAsia"/>
                <w:sz w:val="24"/>
                <w:szCs w:val="24"/>
              </w:rPr>
              <w:t>不适用</w:t>
            </w:r>
          </w:p>
        </w:tc>
      </w:tr>
    </w:tbl>
    <w:p w14:paraId="1D712EA4" w14:textId="77777777" w:rsidR="00F87C1F" w:rsidRPr="00474D20" w:rsidRDefault="00F87C1F" w:rsidP="00F234B2">
      <w:pPr>
        <w:snapToGrid w:val="0"/>
        <w:spacing w:line="240" w:lineRule="exact"/>
        <w:jc w:val="left"/>
        <w:rPr>
          <w:rFonts w:ascii="Times New Roman" w:hAnsi="Times New Roman"/>
          <w:sz w:val="28"/>
          <w:szCs w:val="28"/>
        </w:rPr>
      </w:pPr>
    </w:p>
    <w:sectPr w:rsidR="00F87C1F" w:rsidRPr="00474D20" w:rsidSect="00ED21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7D04" w14:textId="77777777" w:rsidR="001E1F52" w:rsidRDefault="001E1F52" w:rsidP="00094095">
      <w:r>
        <w:separator/>
      </w:r>
    </w:p>
  </w:endnote>
  <w:endnote w:type="continuationSeparator" w:id="0">
    <w:p w14:paraId="013011AF" w14:textId="77777777" w:rsidR="001E1F52" w:rsidRDefault="001E1F52" w:rsidP="00094095">
      <w:r>
        <w:continuationSeparator/>
      </w:r>
    </w:p>
  </w:endnote>
  <w:endnote w:type="continuationNotice" w:id="1">
    <w:p w14:paraId="5915BD1F" w14:textId="77777777" w:rsidR="001E1F52" w:rsidRDefault="001E1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376438"/>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7CC3D616" w14:textId="0E5F850E" w:rsidR="00B60E5E" w:rsidRPr="00B60E5E" w:rsidRDefault="00B60E5E">
            <w:pPr>
              <w:pStyle w:val="a9"/>
              <w:jc w:val="center"/>
              <w:rPr>
                <w:rFonts w:ascii="Times New Roman" w:hAnsi="Times New Roman"/>
              </w:rPr>
            </w:pPr>
            <w:r w:rsidRPr="00B60E5E">
              <w:rPr>
                <w:rFonts w:ascii="Times New Roman" w:hAnsi="Times New Roman"/>
                <w:lang w:val="zh-CN"/>
              </w:rPr>
              <w:t xml:space="preserve"> </w:t>
            </w:r>
            <w:r w:rsidRPr="00B60E5E">
              <w:rPr>
                <w:rFonts w:ascii="Times New Roman" w:hAnsi="Times New Roman"/>
                <w:b/>
                <w:bCs/>
                <w:sz w:val="24"/>
                <w:szCs w:val="24"/>
              </w:rPr>
              <w:fldChar w:fldCharType="begin"/>
            </w:r>
            <w:r w:rsidRPr="00B60E5E">
              <w:rPr>
                <w:rFonts w:ascii="Times New Roman" w:hAnsi="Times New Roman"/>
                <w:b/>
                <w:bCs/>
              </w:rPr>
              <w:instrText>PAGE</w:instrText>
            </w:r>
            <w:r w:rsidRPr="00B60E5E">
              <w:rPr>
                <w:rFonts w:ascii="Times New Roman" w:hAnsi="Times New Roman"/>
                <w:b/>
                <w:bCs/>
                <w:sz w:val="24"/>
                <w:szCs w:val="24"/>
              </w:rPr>
              <w:fldChar w:fldCharType="separate"/>
            </w:r>
            <w:r w:rsidR="002937BD">
              <w:rPr>
                <w:rFonts w:ascii="Times New Roman" w:hAnsi="Times New Roman"/>
                <w:b/>
                <w:bCs/>
                <w:noProof/>
              </w:rPr>
              <w:t>1</w:t>
            </w:r>
            <w:r w:rsidRPr="00B60E5E">
              <w:rPr>
                <w:rFonts w:ascii="Times New Roman" w:hAnsi="Times New Roman"/>
                <w:b/>
                <w:bCs/>
                <w:sz w:val="24"/>
                <w:szCs w:val="24"/>
              </w:rPr>
              <w:fldChar w:fldCharType="end"/>
            </w:r>
            <w:r w:rsidRPr="00B60E5E">
              <w:rPr>
                <w:rFonts w:ascii="Times New Roman" w:hAnsi="Times New Roman"/>
                <w:lang w:val="zh-CN"/>
              </w:rPr>
              <w:t xml:space="preserve"> / </w:t>
            </w:r>
            <w:r w:rsidRPr="00B60E5E">
              <w:rPr>
                <w:rFonts w:ascii="Times New Roman" w:hAnsi="Times New Roman"/>
                <w:b/>
                <w:bCs/>
                <w:sz w:val="24"/>
                <w:szCs w:val="24"/>
              </w:rPr>
              <w:fldChar w:fldCharType="begin"/>
            </w:r>
            <w:r w:rsidRPr="00B60E5E">
              <w:rPr>
                <w:rFonts w:ascii="Times New Roman" w:hAnsi="Times New Roman"/>
                <w:b/>
                <w:bCs/>
              </w:rPr>
              <w:instrText>NUMPAGES</w:instrText>
            </w:r>
            <w:r w:rsidRPr="00B60E5E">
              <w:rPr>
                <w:rFonts w:ascii="Times New Roman" w:hAnsi="Times New Roman"/>
                <w:b/>
                <w:bCs/>
                <w:sz w:val="24"/>
                <w:szCs w:val="24"/>
              </w:rPr>
              <w:fldChar w:fldCharType="separate"/>
            </w:r>
            <w:r w:rsidR="002937BD">
              <w:rPr>
                <w:rFonts w:ascii="Times New Roman" w:hAnsi="Times New Roman"/>
                <w:b/>
                <w:bCs/>
                <w:noProof/>
              </w:rPr>
              <w:t>1</w:t>
            </w:r>
            <w:r w:rsidRPr="00B60E5E">
              <w:rPr>
                <w:rFonts w:ascii="Times New Roman" w:hAnsi="Times New Roman"/>
                <w:b/>
                <w:bCs/>
                <w:sz w:val="24"/>
                <w:szCs w:val="24"/>
              </w:rPr>
              <w:fldChar w:fldCharType="end"/>
            </w:r>
          </w:p>
        </w:sdtContent>
      </w:sdt>
    </w:sdtContent>
  </w:sdt>
  <w:p w14:paraId="599E2B41" w14:textId="77777777" w:rsidR="00B60E5E" w:rsidRDefault="00B60E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4987" w14:textId="77777777" w:rsidR="001E1F52" w:rsidRDefault="001E1F52" w:rsidP="00094095">
      <w:r>
        <w:separator/>
      </w:r>
    </w:p>
  </w:footnote>
  <w:footnote w:type="continuationSeparator" w:id="0">
    <w:p w14:paraId="35F94A01" w14:textId="77777777" w:rsidR="001E1F52" w:rsidRDefault="001E1F52" w:rsidP="00094095">
      <w:r>
        <w:continuationSeparator/>
      </w:r>
    </w:p>
  </w:footnote>
  <w:footnote w:type="continuationNotice" w:id="1">
    <w:p w14:paraId="7DBDA6FC" w14:textId="77777777" w:rsidR="001E1F52" w:rsidRDefault="001E1F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BA9"/>
    <w:multiLevelType w:val="hybridMultilevel"/>
    <w:tmpl w:val="5BC4E992"/>
    <w:lvl w:ilvl="0" w:tplc="CE529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755479"/>
    <w:multiLevelType w:val="hybridMultilevel"/>
    <w:tmpl w:val="5DCE0A60"/>
    <w:lvl w:ilvl="0" w:tplc="F3A22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F769BB"/>
    <w:multiLevelType w:val="hybridMultilevel"/>
    <w:tmpl w:val="BD4EDF36"/>
    <w:lvl w:ilvl="0" w:tplc="443AE3D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3D61FC"/>
    <w:multiLevelType w:val="hybridMultilevel"/>
    <w:tmpl w:val="E078E39E"/>
    <w:lvl w:ilvl="0" w:tplc="6750C58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A83A7C"/>
    <w:multiLevelType w:val="hybridMultilevel"/>
    <w:tmpl w:val="60286976"/>
    <w:lvl w:ilvl="0" w:tplc="4630001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D0B50"/>
    <w:multiLevelType w:val="hybridMultilevel"/>
    <w:tmpl w:val="F528A96C"/>
    <w:lvl w:ilvl="0" w:tplc="D9E22E1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E364F99"/>
    <w:multiLevelType w:val="hybridMultilevel"/>
    <w:tmpl w:val="F67EF30E"/>
    <w:lvl w:ilvl="0" w:tplc="6952D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DC71A9"/>
    <w:multiLevelType w:val="hybridMultilevel"/>
    <w:tmpl w:val="F7E4A494"/>
    <w:lvl w:ilvl="0" w:tplc="20BE8B0E">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8" w15:restartNumberingAfterBreak="0">
    <w:nsid w:val="12270FD2"/>
    <w:multiLevelType w:val="hybridMultilevel"/>
    <w:tmpl w:val="64C0A388"/>
    <w:lvl w:ilvl="0" w:tplc="6AA6F7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C6A4903"/>
    <w:multiLevelType w:val="hybridMultilevel"/>
    <w:tmpl w:val="1EE6AE00"/>
    <w:lvl w:ilvl="0" w:tplc="9EC20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487CAE"/>
    <w:multiLevelType w:val="hybridMultilevel"/>
    <w:tmpl w:val="F4FAD824"/>
    <w:lvl w:ilvl="0" w:tplc="6D000C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EE662F6"/>
    <w:multiLevelType w:val="hybridMultilevel"/>
    <w:tmpl w:val="DCEC0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146160"/>
    <w:multiLevelType w:val="hybridMultilevel"/>
    <w:tmpl w:val="F702B9EE"/>
    <w:lvl w:ilvl="0" w:tplc="0A64077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F9E4B7A"/>
    <w:multiLevelType w:val="hybridMultilevel"/>
    <w:tmpl w:val="A23A2B1C"/>
    <w:lvl w:ilvl="0" w:tplc="20BE8B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EF609C"/>
    <w:multiLevelType w:val="hybridMultilevel"/>
    <w:tmpl w:val="39086938"/>
    <w:lvl w:ilvl="0" w:tplc="61A0C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1A10AD1"/>
    <w:multiLevelType w:val="hybridMultilevel"/>
    <w:tmpl w:val="386AB256"/>
    <w:lvl w:ilvl="0" w:tplc="61403AC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7C686A"/>
    <w:multiLevelType w:val="hybridMultilevel"/>
    <w:tmpl w:val="FAF63A60"/>
    <w:lvl w:ilvl="0" w:tplc="20BE8B0E">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D7E2DA0"/>
    <w:multiLevelType w:val="hybridMultilevel"/>
    <w:tmpl w:val="8C12FCDE"/>
    <w:lvl w:ilvl="0" w:tplc="DE26D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0C73BC"/>
    <w:multiLevelType w:val="hybridMultilevel"/>
    <w:tmpl w:val="A5541D4E"/>
    <w:lvl w:ilvl="0" w:tplc="61403AC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5945147"/>
    <w:multiLevelType w:val="hybridMultilevel"/>
    <w:tmpl w:val="8DB6F9B4"/>
    <w:lvl w:ilvl="0" w:tplc="61403AC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C329CE"/>
    <w:multiLevelType w:val="hybridMultilevel"/>
    <w:tmpl w:val="29FC12A8"/>
    <w:lvl w:ilvl="0" w:tplc="D06A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A9C6ED4"/>
    <w:multiLevelType w:val="hybridMultilevel"/>
    <w:tmpl w:val="2990FC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2756F8"/>
    <w:multiLevelType w:val="hybridMultilevel"/>
    <w:tmpl w:val="75ACD2A2"/>
    <w:lvl w:ilvl="0" w:tplc="20BE8B0E">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9A23F68"/>
    <w:multiLevelType w:val="hybridMultilevel"/>
    <w:tmpl w:val="75EAF4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1ED5A21"/>
    <w:multiLevelType w:val="hybridMultilevel"/>
    <w:tmpl w:val="DCEC09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E36D56"/>
    <w:multiLevelType w:val="hybridMultilevel"/>
    <w:tmpl w:val="8076CFA6"/>
    <w:lvl w:ilvl="0" w:tplc="CBFE46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C220068"/>
    <w:multiLevelType w:val="hybridMultilevel"/>
    <w:tmpl w:val="07CA330E"/>
    <w:lvl w:ilvl="0" w:tplc="CE9E41E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E7107A7"/>
    <w:multiLevelType w:val="hybridMultilevel"/>
    <w:tmpl w:val="B15C9F64"/>
    <w:lvl w:ilvl="0" w:tplc="6D7A420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82657253">
    <w:abstractNumId w:val="23"/>
  </w:num>
  <w:num w:numId="2" w16cid:durableId="2072999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0192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910632">
    <w:abstractNumId w:val="27"/>
  </w:num>
  <w:num w:numId="5" w16cid:durableId="1855916331">
    <w:abstractNumId w:val="2"/>
  </w:num>
  <w:num w:numId="6" w16cid:durableId="90274398">
    <w:abstractNumId w:val="25"/>
  </w:num>
  <w:num w:numId="7" w16cid:durableId="2099250477">
    <w:abstractNumId w:val="1"/>
  </w:num>
  <w:num w:numId="8" w16cid:durableId="914166852">
    <w:abstractNumId w:val="24"/>
  </w:num>
  <w:num w:numId="9" w16cid:durableId="1164930985">
    <w:abstractNumId w:val="11"/>
  </w:num>
  <w:num w:numId="10" w16cid:durableId="228543219">
    <w:abstractNumId w:val="21"/>
  </w:num>
  <w:num w:numId="11" w16cid:durableId="1801997802">
    <w:abstractNumId w:val="17"/>
  </w:num>
  <w:num w:numId="12" w16cid:durableId="1239440422">
    <w:abstractNumId w:val="15"/>
  </w:num>
  <w:num w:numId="13" w16cid:durableId="1859931042">
    <w:abstractNumId w:val="18"/>
  </w:num>
  <w:num w:numId="14" w16cid:durableId="432819819">
    <w:abstractNumId w:val="19"/>
  </w:num>
  <w:num w:numId="15" w16cid:durableId="1325469327">
    <w:abstractNumId w:val="12"/>
  </w:num>
  <w:num w:numId="16" w16cid:durableId="939026611">
    <w:abstractNumId w:val="10"/>
  </w:num>
  <w:num w:numId="17" w16cid:durableId="1396010099">
    <w:abstractNumId w:val="9"/>
  </w:num>
  <w:num w:numId="18" w16cid:durableId="1438714980">
    <w:abstractNumId w:val="14"/>
  </w:num>
  <w:num w:numId="19" w16cid:durableId="1138842110">
    <w:abstractNumId w:val="3"/>
  </w:num>
  <w:num w:numId="20" w16cid:durableId="942222140">
    <w:abstractNumId w:val="4"/>
  </w:num>
  <w:num w:numId="21" w16cid:durableId="1134257475">
    <w:abstractNumId w:val="13"/>
  </w:num>
  <w:num w:numId="22" w16cid:durableId="228346737">
    <w:abstractNumId w:val="6"/>
  </w:num>
  <w:num w:numId="23" w16cid:durableId="1413894198">
    <w:abstractNumId w:val="22"/>
  </w:num>
  <w:num w:numId="24" w16cid:durableId="1533566701">
    <w:abstractNumId w:val="26"/>
  </w:num>
  <w:num w:numId="25" w16cid:durableId="1786583734">
    <w:abstractNumId w:val="0"/>
  </w:num>
  <w:num w:numId="26" w16cid:durableId="1385910849">
    <w:abstractNumId w:val="16"/>
  </w:num>
  <w:num w:numId="27" w16cid:durableId="1809860930">
    <w:abstractNumId w:val="8"/>
  </w:num>
  <w:num w:numId="28" w16cid:durableId="501969717">
    <w:abstractNumId w:val="7"/>
  </w:num>
  <w:num w:numId="29" w16cid:durableId="1206870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95"/>
    <w:rsid w:val="000051DE"/>
    <w:rsid w:val="00005B69"/>
    <w:rsid w:val="00006080"/>
    <w:rsid w:val="0000684D"/>
    <w:rsid w:val="0002587C"/>
    <w:rsid w:val="00036A9D"/>
    <w:rsid w:val="00037213"/>
    <w:rsid w:val="0004470B"/>
    <w:rsid w:val="00044FE2"/>
    <w:rsid w:val="00045507"/>
    <w:rsid w:val="00052AB9"/>
    <w:rsid w:val="0005594E"/>
    <w:rsid w:val="00057046"/>
    <w:rsid w:val="00065A74"/>
    <w:rsid w:val="00065DB3"/>
    <w:rsid w:val="00073BBB"/>
    <w:rsid w:val="0007651B"/>
    <w:rsid w:val="00082738"/>
    <w:rsid w:val="00083BCB"/>
    <w:rsid w:val="00087D30"/>
    <w:rsid w:val="000917F0"/>
    <w:rsid w:val="00091881"/>
    <w:rsid w:val="00094095"/>
    <w:rsid w:val="000A3CA7"/>
    <w:rsid w:val="000A50DA"/>
    <w:rsid w:val="000B0EC8"/>
    <w:rsid w:val="000B7A04"/>
    <w:rsid w:val="000C5BC7"/>
    <w:rsid w:val="000D4521"/>
    <w:rsid w:val="000E3C19"/>
    <w:rsid w:val="000E6100"/>
    <w:rsid w:val="000E7FC9"/>
    <w:rsid w:val="000F3FA4"/>
    <w:rsid w:val="000F5D0F"/>
    <w:rsid w:val="000F6106"/>
    <w:rsid w:val="00100B60"/>
    <w:rsid w:val="001023E1"/>
    <w:rsid w:val="001131A2"/>
    <w:rsid w:val="00113543"/>
    <w:rsid w:val="00117B9E"/>
    <w:rsid w:val="00130E26"/>
    <w:rsid w:val="00136AA7"/>
    <w:rsid w:val="00137BCF"/>
    <w:rsid w:val="001417D8"/>
    <w:rsid w:val="00146DAF"/>
    <w:rsid w:val="0015166A"/>
    <w:rsid w:val="00165964"/>
    <w:rsid w:val="00165BFA"/>
    <w:rsid w:val="001860C8"/>
    <w:rsid w:val="001861FC"/>
    <w:rsid w:val="001913F9"/>
    <w:rsid w:val="00192C2C"/>
    <w:rsid w:val="00193065"/>
    <w:rsid w:val="001A6CB8"/>
    <w:rsid w:val="001B016C"/>
    <w:rsid w:val="001C1B23"/>
    <w:rsid w:val="001C3A02"/>
    <w:rsid w:val="001D1951"/>
    <w:rsid w:val="001D2941"/>
    <w:rsid w:val="001D3D71"/>
    <w:rsid w:val="001E1F52"/>
    <w:rsid w:val="001E393B"/>
    <w:rsid w:val="001F07F8"/>
    <w:rsid w:val="001F7482"/>
    <w:rsid w:val="0020177B"/>
    <w:rsid w:val="0020313A"/>
    <w:rsid w:val="00203C46"/>
    <w:rsid w:val="0021257D"/>
    <w:rsid w:val="002128F6"/>
    <w:rsid w:val="002158DC"/>
    <w:rsid w:val="00221094"/>
    <w:rsid w:val="002219C7"/>
    <w:rsid w:val="0022399C"/>
    <w:rsid w:val="00233AB0"/>
    <w:rsid w:val="00234695"/>
    <w:rsid w:val="00237F5C"/>
    <w:rsid w:val="0024276A"/>
    <w:rsid w:val="00245776"/>
    <w:rsid w:val="00254F82"/>
    <w:rsid w:val="00262658"/>
    <w:rsid w:val="00265114"/>
    <w:rsid w:val="00266254"/>
    <w:rsid w:val="00266A6B"/>
    <w:rsid w:val="00281E8A"/>
    <w:rsid w:val="0029252D"/>
    <w:rsid w:val="002937BD"/>
    <w:rsid w:val="002B6211"/>
    <w:rsid w:val="002C1804"/>
    <w:rsid w:val="002D6023"/>
    <w:rsid w:val="002E2C9F"/>
    <w:rsid w:val="002E5CA0"/>
    <w:rsid w:val="002E720A"/>
    <w:rsid w:val="002E7564"/>
    <w:rsid w:val="002F2D60"/>
    <w:rsid w:val="002F3007"/>
    <w:rsid w:val="00302FE1"/>
    <w:rsid w:val="003048E8"/>
    <w:rsid w:val="00305FFE"/>
    <w:rsid w:val="003061D7"/>
    <w:rsid w:val="00307976"/>
    <w:rsid w:val="0031063E"/>
    <w:rsid w:val="0031093F"/>
    <w:rsid w:val="003145BC"/>
    <w:rsid w:val="00316B15"/>
    <w:rsid w:val="00321762"/>
    <w:rsid w:val="0032355A"/>
    <w:rsid w:val="003257C1"/>
    <w:rsid w:val="003335C6"/>
    <w:rsid w:val="003358F3"/>
    <w:rsid w:val="003475C2"/>
    <w:rsid w:val="00350497"/>
    <w:rsid w:val="00353B55"/>
    <w:rsid w:val="00354B94"/>
    <w:rsid w:val="00354F14"/>
    <w:rsid w:val="0036004C"/>
    <w:rsid w:val="00366B70"/>
    <w:rsid w:val="003745DB"/>
    <w:rsid w:val="003975EE"/>
    <w:rsid w:val="003A386D"/>
    <w:rsid w:val="003A420A"/>
    <w:rsid w:val="003C001B"/>
    <w:rsid w:val="003C1802"/>
    <w:rsid w:val="003C306B"/>
    <w:rsid w:val="003C75D7"/>
    <w:rsid w:val="003D3128"/>
    <w:rsid w:val="003D60DB"/>
    <w:rsid w:val="003D6C93"/>
    <w:rsid w:val="003F170C"/>
    <w:rsid w:val="004030E1"/>
    <w:rsid w:val="00410280"/>
    <w:rsid w:val="004161ED"/>
    <w:rsid w:val="00416DCD"/>
    <w:rsid w:val="004207F2"/>
    <w:rsid w:val="0042419F"/>
    <w:rsid w:val="00427074"/>
    <w:rsid w:val="004270B6"/>
    <w:rsid w:val="00427285"/>
    <w:rsid w:val="004306A0"/>
    <w:rsid w:val="004330A0"/>
    <w:rsid w:val="00445D11"/>
    <w:rsid w:val="00445F6B"/>
    <w:rsid w:val="00451D48"/>
    <w:rsid w:val="004539ED"/>
    <w:rsid w:val="00462174"/>
    <w:rsid w:val="004627D6"/>
    <w:rsid w:val="00472EED"/>
    <w:rsid w:val="00474D20"/>
    <w:rsid w:val="00474EBE"/>
    <w:rsid w:val="00497E7B"/>
    <w:rsid w:val="004A608A"/>
    <w:rsid w:val="004B00C8"/>
    <w:rsid w:val="004B3A56"/>
    <w:rsid w:val="004C2586"/>
    <w:rsid w:val="004C3B58"/>
    <w:rsid w:val="004D7B09"/>
    <w:rsid w:val="004E1350"/>
    <w:rsid w:val="004F382D"/>
    <w:rsid w:val="0050245F"/>
    <w:rsid w:val="00507D9C"/>
    <w:rsid w:val="00521ED5"/>
    <w:rsid w:val="00522D3B"/>
    <w:rsid w:val="0052375D"/>
    <w:rsid w:val="00525467"/>
    <w:rsid w:val="00527F6A"/>
    <w:rsid w:val="005368A9"/>
    <w:rsid w:val="005374B9"/>
    <w:rsid w:val="00541ACB"/>
    <w:rsid w:val="00557102"/>
    <w:rsid w:val="00563A4C"/>
    <w:rsid w:val="00566CC7"/>
    <w:rsid w:val="00570014"/>
    <w:rsid w:val="00572E7B"/>
    <w:rsid w:val="005731CB"/>
    <w:rsid w:val="00574B4E"/>
    <w:rsid w:val="00574F2D"/>
    <w:rsid w:val="0058057F"/>
    <w:rsid w:val="005830FE"/>
    <w:rsid w:val="00584F2F"/>
    <w:rsid w:val="005960C5"/>
    <w:rsid w:val="00597138"/>
    <w:rsid w:val="005A2C96"/>
    <w:rsid w:val="005B533D"/>
    <w:rsid w:val="005C3D32"/>
    <w:rsid w:val="005C449E"/>
    <w:rsid w:val="005D087D"/>
    <w:rsid w:val="005D1309"/>
    <w:rsid w:val="005D1B7F"/>
    <w:rsid w:val="005E5B91"/>
    <w:rsid w:val="005E5FC7"/>
    <w:rsid w:val="005F167B"/>
    <w:rsid w:val="005F5816"/>
    <w:rsid w:val="005F5FFA"/>
    <w:rsid w:val="00604BA3"/>
    <w:rsid w:val="0060698A"/>
    <w:rsid w:val="00610C11"/>
    <w:rsid w:val="00610CEA"/>
    <w:rsid w:val="006113D3"/>
    <w:rsid w:val="00613895"/>
    <w:rsid w:val="006157E5"/>
    <w:rsid w:val="006164D0"/>
    <w:rsid w:val="00616F24"/>
    <w:rsid w:val="00621AFF"/>
    <w:rsid w:val="006265D8"/>
    <w:rsid w:val="006300C0"/>
    <w:rsid w:val="006408AB"/>
    <w:rsid w:val="006447F2"/>
    <w:rsid w:val="00644C5B"/>
    <w:rsid w:val="00645D6F"/>
    <w:rsid w:val="006670A5"/>
    <w:rsid w:val="00672BDB"/>
    <w:rsid w:val="0067330C"/>
    <w:rsid w:val="00675286"/>
    <w:rsid w:val="006768FF"/>
    <w:rsid w:val="00692DA5"/>
    <w:rsid w:val="00693AAA"/>
    <w:rsid w:val="00694A82"/>
    <w:rsid w:val="00695334"/>
    <w:rsid w:val="006A4D58"/>
    <w:rsid w:val="006A4F76"/>
    <w:rsid w:val="006A50B0"/>
    <w:rsid w:val="006A5728"/>
    <w:rsid w:val="006A77AC"/>
    <w:rsid w:val="006B49BF"/>
    <w:rsid w:val="006B7468"/>
    <w:rsid w:val="006C0FEE"/>
    <w:rsid w:val="006C6C5D"/>
    <w:rsid w:val="006D0734"/>
    <w:rsid w:val="006D0891"/>
    <w:rsid w:val="006D6449"/>
    <w:rsid w:val="006D71E0"/>
    <w:rsid w:val="006E0621"/>
    <w:rsid w:val="006E4C68"/>
    <w:rsid w:val="006F7DA0"/>
    <w:rsid w:val="00702012"/>
    <w:rsid w:val="00715474"/>
    <w:rsid w:val="00720227"/>
    <w:rsid w:val="00720679"/>
    <w:rsid w:val="007272F9"/>
    <w:rsid w:val="00734239"/>
    <w:rsid w:val="007364E2"/>
    <w:rsid w:val="0074396E"/>
    <w:rsid w:val="00745373"/>
    <w:rsid w:val="007453EC"/>
    <w:rsid w:val="0074694B"/>
    <w:rsid w:val="00752C63"/>
    <w:rsid w:val="007543A3"/>
    <w:rsid w:val="00760B27"/>
    <w:rsid w:val="00761154"/>
    <w:rsid w:val="00762CDE"/>
    <w:rsid w:val="00765468"/>
    <w:rsid w:val="00785C5F"/>
    <w:rsid w:val="00794EE3"/>
    <w:rsid w:val="007A0249"/>
    <w:rsid w:val="007A154C"/>
    <w:rsid w:val="007B1D0C"/>
    <w:rsid w:val="007C000E"/>
    <w:rsid w:val="007C7803"/>
    <w:rsid w:val="007D5263"/>
    <w:rsid w:val="008010AD"/>
    <w:rsid w:val="0080386C"/>
    <w:rsid w:val="008044D7"/>
    <w:rsid w:val="00805762"/>
    <w:rsid w:val="008110BD"/>
    <w:rsid w:val="00813550"/>
    <w:rsid w:val="0081400D"/>
    <w:rsid w:val="008252A2"/>
    <w:rsid w:val="008354FF"/>
    <w:rsid w:val="0084303C"/>
    <w:rsid w:val="0084664F"/>
    <w:rsid w:val="0084728A"/>
    <w:rsid w:val="0086235D"/>
    <w:rsid w:val="008736FC"/>
    <w:rsid w:val="008750C5"/>
    <w:rsid w:val="008764AD"/>
    <w:rsid w:val="00877D76"/>
    <w:rsid w:val="00884C75"/>
    <w:rsid w:val="00885D99"/>
    <w:rsid w:val="008926BD"/>
    <w:rsid w:val="00892E30"/>
    <w:rsid w:val="0089745C"/>
    <w:rsid w:val="008A436E"/>
    <w:rsid w:val="008A7ED7"/>
    <w:rsid w:val="008C10CC"/>
    <w:rsid w:val="008E44E6"/>
    <w:rsid w:val="008E5AC1"/>
    <w:rsid w:val="008F18B2"/>
    <w:rsid w:val="008F447E"/>
    <w:rsid w:val="008F6050"/>
    <w:rsid w:val="008F634B"/>
    <w:rsid w:val="00900557"/>
    <w:rsid w:val="0091013F"/>
    <w:rsid w:val="009121E2"/>
    <w:rsid w:val="009134D0"/>
    <w:rsid w:val="009172C2"/>
    <w:rsid w:val="0093344B"/>
    <w:rsid w:val="00944ED5"/>
    <w:rsid w:val="009519A5"/>
    <w:rsid w:val="0095347A"/>
    <w:rsid w:val="00953F88"/>
    <w:rsid w:val="00960D56"/>
    <w:rsid w:val="00963699"/>
    <w:rsid w:val="00964D91"/>
    <w:rsid w:val="009733B4"/>
    <w:rsid w:val="0097529A"/>
    <w:rsid w:val="00981363"/>
    <w:rsid w:val="00985230"/>
    <w:rsid w:val="009912F8"/>
    <w:rsid w:val="00997099"/>
    <w:rsid w:val="009A3691"/>
    <w:rsid w:val="009A7BF2"/>
    <w:rsid w:val="009B164D"/>
    <w:rsid w:val="009B22D1"/>
    <w:rsid w:val="009B5555"/>
    <w:rsid w:val="009B5FCA"/>
    <w:rsid w:val="009B736D"/>
    <w:rsid w:val="009C0684"/>
    <w:rsid w:val="009C1D9D"/>
    <w:rsid w:val="009C5ACB"/>
    <w:rsid w:val="009E0C70"/>
    <w:rsid w:val="009E544B"/>
    <w:rsid w:val="009F7FE9"/>
    <w:rsid w:val="00A042B2"/>
    <w:rsid w:val="00A30F75"/>
    <w:rsid w:val="00A3294E"/>
    <w:rsid w:val="00A3460D"/>
    <w:rsid w:val="00A43A3E"/>
    <w:rsid w:val="00A530A9"/>
    <w:rsid w:val="00A67610"/>
    <w:rsid w:val="00A73519"/>
    <w:rsid w:val="00A73EC0"/>
    <w:rsid w:val="00A76C80"/>
    <w:rsid w:val="00A77BD3"/>
    <w:rsid w:val="00A8557B"/>
    <w:rsid w:val="00AA1A78"/>
    <w:rsid w:val="00AA547D"/>
    <w:rsid w:val="00AA606E"/>
    <w:rsid w:val="00AB17F2"/>
    <w:rsid w:val="00AB1BC4"/>
    <w:rsid w:val="00AB563D"/>
    <w:rsid w:val="00AD260D"/>
    <w:rsid w:val="00AD646B"/>
    <w:rsid w:val="00AD735B"/>
    <w:rsid w:val="00AE1DA3"/>
    <w:rsid w:val="00AE1EC1"/>
    <w:rsid w:val="00AE24A1"/>
    <w:rsid w:val="00AE4546"/>
    <w:rsid w:val="00AE4C10"/>
    <w:rsid w:val="00AE5C90"/>
    <w:rsid w:val="00AF0BB8"/>
    <w:rsid w:val="00AF2CFA"/>
    <w:rsid w:val="00B01090"/>
    <w:rsid w:val="00B13E71"/>
    <w:rsid w:val="00B327C3"/>
    <w:rsid w:val="00B34D88"/>
    <w:rsid w:val="00B357DC"/>
    <w:rsid w:val="00B44DB6"/>
    <w:rsid w:val="00B54881"/>
    <w:rsid w:val="00B5703D"/>
    <w:rsid w:val="00B60E5E"/>
    <w:rsid w:val="00B810F0"/>
    <w:rsid w:val="00B85506"/>
    <w:rsid w:val="00B8768F"/>
    <w:rsid w:val="00B977E4"/>
    <w:rsid w:val="00BA0750"/>
    <w:rsid w:val="00BA16D2"/>
    <w:rsid w:val="00BA46A2"/>
    <w:rsid w:val="00BA4F7F"/>
    <w:rsid w:val="00BA5FD5"/>
    <w:rsid w:val="00BA6B27"/>
    <w:rsid w:val="00BA6F07"/>
    <w:rsid w:val="00BA7129"/>
    <w:rsid w:val="00BA7437"/>
    <w:rsid w:val="00BB2377"/>
    <w:rsid w:val="00BB3119"/>
    <w:rsid w:val="00BB3798"/>
    <w:rsid w:val="00BB4C43"/>
    <w:rsid w:val="00BC3730"/>
    <w:rsid w:val="00BC44C2"/>
    <w:rsid w:val="00BC6BEF"/>
    <w:rsid w:val="00BC768A"/>
    <w:rsid w:val="00BD3D34"/>
    <w:rsid w:val="00BD6CBA"/>
    <w:rsid w:val="00BD6EBE"/>
    <w:rsid w:val="00BF0D84"/>
    <w:rsid w:val="00BF6C60"/>
    <w:rsid w:val="00BF7F17"/>
    <w:rsid w:val="00C068D5"/>
    <w:rsid w:val="00C107E0"/>
    <w:rsid w:val="00C20325"/>
    <w:rsid w:val="00C30030"/>
    <w:rsid w:val="00C318CE"/>
    <w:rsid w:val="00C47039"/>
    <w:rsid w:val="00C52346"/>
    <w:rsid w:val="00C61DF7"/>
    <w:rsid w:val="00C67DDE"/>
    <w:rsid w:val="00C75B25"/>
    <w:rsid w:val="00C76979"/>
    <w:rsid w:val="00C76F0E"/>
    <w:rsid w:val="00C8184D"/>
    <w:rsid w:val="00C84314"/>
    <w:rsid w:val="00C9068E"/>
    <w:rsid w:val="00CA51EF"/>
    <w:rsid w:val="00CB1BCD"/>
    <w:rsid w:val="00CB7216"/>
    <w:rsid w:val="00CD148B"/>
    <w:rsid w:val="00CD1C09"/>
    <w:rsid w:val="00CD25EE"/>
    <w:rsid w:val="00CD2BEC"/>
    <w:rsid w:val="00CD6C9E"/>
    <w:rsid w:val="00CF653E"/>
    <w:rsid w:val="00D001A9"/>
    <w:rsid w:val="00D053F3"/>
    <w:rsid w:val="00D11610"/>
    <w:rsid w:val="00D11B8F"/>
    <w:rsid w:val="00D158AF"/>
    <w:rsid w:val="00D1634A"/>
    <w:rsid w:val="00D21777"/>
    <w:rsid w:val="00D2453A"/>
    <w:rsid w:val="00D313EF"/>
    <w:rsid w:val="00D339EF"/>
    <w:rsid w:val="00D34A1D"/>
    <w:rsid w:val="00D370A7"/>
    <w:rsid w:val="00D419DE"/>
    <w:rsid w:val="00D451A4"/>
    <w:rsid w:val="00D515E7"/>
    <w:rsid w:val="00D63436"/>
    <w:rsid w:val="00D73A38"/>
    <w:rsid w:val="00D87D27"/>
    <w:rsid w:val="00D9230D"/>
    <w:rsid w:val="00DA3B19"/>
    <w:rsid w:val="00DB1D0A"/>
    <w:rsid w:val="00DB5ECC"/>
    <w:rsid w:val="00DB738F"/>
    <w:rsid w:val="00DB7B34"/>
    <w:rsid w:val="00DC70AB"/>
    <w:rsid w:val="00DD1C7B"/>
    <w:rsid w:val="00DE39D7"/>
    <w:rsid w:val="00DE7DBD"/>
    <w:rsid w:val="00DF4BCE"/>
    <w:rsid w:val="00E01A24"/>
    <w:rsid w:val="00E04B38"/>
    <w:rsid w:val="00E06439"/>
    <w:rsid w:val="00E11C0D"/>
    <w:rsid w:val="00E1347C"/>
    <w:rsid w:val="00E21F07"/>
    <w:rsid w:val="00E25016"/>
    <w:rsid w:val="00E32A0C"/>
    <w:rsid w:val="00E34BA1"/>
    <w:rsid w:val="00E5214D"/>
    <w:rsid w:val="00E54A70"/>
    <w:rsid w:val="00E54B29"/>
    <w:rsid w:val="00E659D6"/>
    <w:rsid w:val="00E70B36"/>
    <w:rsid w:val="00E85DDF"/>
    <w:rsid w:val="00E91187"/>
    <w:rsid w:val="00E93A99"/>
    <w:rsid w:val="00EA2EF6"/>
    <w:rsid w:val="00EA7F67"/>
    <w:rsid w:val="00EB0EE6"/>
    <w:rsid w:val="00EB1A34"/>
    <w:rsid w:val="00EB20C5"/>
    <w:rsid w:val="00EC669A"/>
    <w:rsid w:val="00EC6D39"/>
    <w:rsid w:val="00ED21B1"/>
    <w:rsid w:val="00ED4254"/>
    <w:rsid w:val="00ED7BB4"/>
    <w:rsid w:val="00EE2784"/>
    <w:rsid w:val="00EE2B88"/>
    <w:rsid w:val="00EE4AF0"/>
    <w:rsid w:val="00EF12DE"/>
    <w:rsid w:val="00EF2FDA"/>
    <w:rsid w:val="00F15744"/>
    <w:rsid w:val="00F16269"/>
    <w:rsid w:val="00F1798A"/>
    <w:rsid w:val="00F234B2"/>
    <w:rsid w:val="00F26A0F"/>
    <w:rsid w:val="00F32049"/>
    <w:rsid w:val="00F3620B"/>
    <w:rsid w:val="00F418F4"/>
    <w:rsid w:val="00F41E5F"/>
    <w:rsid w:val="00F42BAC"/>
    <w:rsid w:val="00F4518C"/>
    <w:rsid w:val="00F5086B"/>
    <w:rsid w:val="00F54709"/>
    <w:rsid w:val="00F87C1F"/>
    <w:rsid w:val="00F93423"/>
    <w:rsid w:val="00F93D1F"/>
    <w:rsid w:val="00FA5A2F"/>
    <w:rsid w:val="00FB7045"/>
    <w:rsid w:val="00FC13C8"/>
    <w:rsid w:val="00FD0861"/>
    <w:rsid w:val="00FD4454"/>
    <w:rsid w:val="00FD4A2C"/>
    <w:rsid w:val="00FE0669"/>
    <w:rsid w:val="00FE3C66"/>
    <w:rsid w:val="00FE4CAC"/>
    <w:rsid w:val="00FE6D3D"/>
    <w:rsid w:val="00FF2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B6D97"/>
  <w15:chartTrackingRefBased/>
  <w15:docId w15:val="{78C34510-C326-4F87-85E8-29669BE8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0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094095"/>
    <w:pPr>
      <w:snapToGrid w:val="0"/>
      <w:jc w:val="left"/>
    </w:pPr>
  </w:style>
  <w:style w:type="character" w:customStyle="1" w:styleId="a5">
    <w:name w:val="尾注文本 字符"/>
    <w:basedOn w:val="a0"/>
    <w:link w:val="a4"/>
    <w:uiPriority w:val="99"/>
    <w:semiHidden/>
    <w:rsid w:val="00094095"/>
  </w:style>
  <w:style w:type="character" w:styleId="a6">
    <w:name w:val="endnote reference"/>
    <w:uiPriority w:val="99"/>
    <w:semiHidden/>
    <w:unhideWhenUsed/>
    <w:rsid w:val="00094095"/>
    <w:rPr>
      <w:vertAlign w:val="superscript"/>
    </w:rPr>
  </w:style>
  <w:style w:type="paragraph" w:styleId="a7">
    <w:name w:val="header"/>
    <w:basedOn w:val="a"/>
    <w:link w:val="a8"/>
    <w:uiPriority w:val="99"/>
    <w:unhideWhenUsed/>
    <w:rsid w:val="00D21777"/>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sid w:val="00D21777"/>
    <w:rPr>
      <w:sz w:val="18"/>
      <w:szCs w:val="18"/>
    </w:rPr>
  </w:style>
  <w:style w:type="paragraph" w:styleId="a9">
    <w:name w:val="footer"/>
    <w:basedOn w:val="a"/>
    <w:link w:val="aa"/>
    <w:uiPriority w:val="99"/>
    <w:unhideWhenUsed/>
    <w:rsid w:val="00D21777"/>
    <w:pPr>
      <w:tabs>
        <w:tab w:val="center" w:pos="4153"/>
        <w:tab w:val="right" w:pos="8306"/>
      </w:tabs>
      <w:snapToGrid w:val="0"/>
      <w:jc w:val="left"/>
    </w:pPr>
    <w:rPr>
      <w:sz w:val="18"/>
      <w:szCs w:val="18"/>
    </w:rPr>
  </w:style>
  <w:style w:type="character" w:customStyle="1" w:styleId="aa">
    <w:name w:val="页脚 字符"/>
    <w:link w:val="a9"/>
    <w:uiPriority w:val="99"/>
    <w:rsid w:val="00D21777"/>
    <w:rPr>
      <w:sz w:val="18"/>
      <w:szCs w:val="18"/>
    </w:rPr>
  </w:style>
  <w:style w:type="paragraph" w:styleId="ab">
    <w:name w:val="Balloon Text"/>
    <w:basedOn w:val="a"/>
    <w:link w:val="ac"/>
    <w:uiPriority w:val="99"/>
    <w:semiHidden/>
    <w:unhideWhenUsed/>
    <w:rsid w:val="00EE2784"/>
    <w:rPr>
      <w:sz w:val="18"/>
      <w:szCs w:val="18"/>
    </w:rPr>
  </w:style>
  <w:style w:type="character" w:customStyle="1" w:styleId="ac">
    <w:name w:val="批注框文本 字符"/>
    <w:link w:val="ab"/>
    <w:uiPriority w:val="99"/>
    <w:semiHidden/>
    <w:rsid w:val="00EE2784"/>
    <w:rPr>
      <w:kern w:val="2"/>
      <w:sz w:val="18"/>
      <w:szCs w:val="18"/>
    </w:rPr>
  </w:style>
  <w:style w:type="paragraph" w:customStyle="1" w:styleId="1">
    <w:name w:val="列出段落1"/>
    <w:basedOn w:val="a"/>
    <w:uiPriority w:val="34"/>
    <w:qFormat/>
    <w:rsid w:val="00BA7437"/>
    <w:pPr>
      <w:ind w:firstLineChars="200" w:firstLine="420"/>
    </w:pPr>
  </w:style>
  <w:style w:type="paragraph" w:styleId="ad">
    <w:name w:val="List Paragraph"/>
    <w:basedOn w:val="a"/>
    <w:uiPriority w:val="34"/>
    <w:qFormat/>
    <w:rsid w:val="000E7FC9"/>
    <w:pPr>
      <w:ind w:firstLineChars="200" w:firstLine="420"/>
    </w:pPr>
  </w:style>
  <w:style w:type="paragraph" w:styleId="ae">
    <w:name w:val="footnote text"/>
    <w:basedOn w:val="a"/>
    <w:link w:val="af"/>
    <w:uiPriority w:val="99"/>
    <w:semiHidden/>
    <w:rsid w:val="00D001A9"/>
    <w:pPr>
      <w:snapToGrid w:val="0"/>
      <w:jc w:val="left"/>
    </w:pPr>
    <w:rPr>
      <w:rFonts w:ascii="Times New Roman" w:eastAsia="PMingLiU" w:hAnsi="Times New Roman"/>
      <w:sz w:val="20"/>
      <w:szCs w:val="20"/>
      <w:lang w:eastAsia="zh-TW"/>
    </w:rPr>
  </w:style>
  <w:style w:type="character" w:customStyle="1" w:styleId="af">
    <w:name w:val="脚注文本 字符"/>
    <w:link w:val="ae"/>
    <w:uiPriority w:val="99"/>
    <w:semiHidden/>
    <w:rsid w:val="00D001A9"/>
    <w:rPr>
      <w:rFonts w:ascii="Times New Roman" w:eastAsia="PMingLiU" w:hAnsi="Times New Roman"/>
      <w:kern w:val="2"/>
      <w:lang w:eastAsia="zh-TW"/>
    </w:rPr>
  </w:style>
  <w:style w:type="character" w:styleId="af0">
    <w:name w:val="footnote reference"/>
    <w:uiPriority w:val="99"/>
    <w:semiHidden/>
    <w:unhideWhenUsed/>
    <w:rsid w:val="0074694B"/>
    <w:rPr>
      <w:vertAlign w:val="superscript"/>
    </w:rPr>
  </w:style>
  <w:style w:type="character" w:styleId="af1">
    <w:name w:val="annotation reference"/>
    <w:basedOn w:val="a0"/>
    <w:unhideWhenUsed/>
    <w:rsid w:val="00BA6F07"/>
    <w:rPr>
      <w:sz w:val="21"/>
      <w:szCs w:val="21"/>
    </w:rPr>
  </w:style>
  <w:style w:type="paragraph" w:styleId="af2">
    <w:name w:val="annotation text"/>
    <w:basedOn w:val="a"/>
    <w:link w:val="af3"/>
    <w:uiPriority w:val="99"/>
    <w:semiHidden/>
    <w:unhideWhenUsed/>
    <w:rsid w:val="00BA6F07"/>
    <w:pPr>
      <w:jc w:val="left"/>
    </w:pPr>
  </w:style>
  <w:style w:type="character" w:customStyle="1" w:styleId="af3">
    <w:name w:val="批注文字 字符"/>
    <w:basedOn w:val="a0"/>
    <w:link w:val="af2"/>
    <w:uiPriority w:val="99"/>
    <w:semiHidden/>
    <w:rsid w:val="00BA6F07"/>
    <w:rPr>
      <w:kern w:val="2"/>
      <w:sz w:val="21"/>
      <w:szCs w:val="22"/>
    </w:rPr>
  </w:style>
  <w:style w:type="paragraph" w:styleId="af4">
    <w:name w:val="annotation subject"/>
    <w:basedOn w:val="af2"/>
    <w:next w:val="af2"/>
    <w:link w:val="af5"/>
    <w:uiPriority w:val="99"/>
    <w:semiHidden/>
    <w:unhideWhenUsed/>
    <w:rsid w:val="00BA6F07"/>
    <w:rPr>
      <w:b/>
      <w:bCs/>
    </w:rPr>
  </w:style>
  <w:style w:type="character" w:customStyle="1" w:styleId="af5">
    <w:name w:val="批注主题 字符"/>
    <w:basedOn w:val="af3"/>
    <w:link w:val="af4"/>
    <w:uiPriority w:val="99"/>
    <w:semiHidden/>
    <w:rsid w:val="00BA6F07"/>
    <w:rPr>
      <w:b/>
      <w:bCs/>
      <w:kern w:val="2"/>
      <w:sz w:val="21"/>
      <w:szCs w:val="22"/>
    </w:rPr>
  </w:style>
  <w:style w:type="paragraph" w:styleId="af6">
    <w:name w:val="Revision"/>
    <w:hidden/>
    <w:uiPriority w:val="99"/>
    <w:semiHidden/>
    <w:rsid w:val="005374B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FD9B-1051-44A7-9B92-ECCAD091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JunHe LLP</cp:lastModifiedBy>
  <cp:revision>551</cp:revision>
  <cp:lastPrinted>2017-01-18T07:04:00Z</cp:lastPrinted>
  <dcterms:created xsi:type="dcterms:W3CDTF">2021-10-28T09:00:00Z</dcterms:created>
  <dcterms:modified xsi:type="dcterms:W3CDTF">2023-12-26T08:48:00Z</dcterms:modified>
</cp:coreProperties>
</file>