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黑体"/>
          <w:sz w:val="36"/>
          <w:szCs w:val="36"/>
        </w:rPr>
      </w:pPr>
      <w:bookmarkStart w:id="0" w:name="_GoBack"/>
      <w:bookmarkEnd w:id="0"/>
      <w:r>
        <w:rPr>
          <w:rFonts w:hint="eastAsia" w:ascii="Times New Roman" w:hAnsi="Times New Roman" w:eastAsia="黑体"/>
          <w:sz w:val="32"/>
          <w:szCs w:val="32"/>
          <w:lang w:eastAsia="zh-CN"/>
        </w:rPr>
        <w:t>附件</w:t>
      </w:r>
      <w:r>
        <w:rPr>
          <w:rFonts w:hint="eastAsia" w:ascii="Times New Roman" w:hAnsi="Times New Roman"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黑体"/>
          <w:sz w:val="36"/>
          <w:szCs w:val="36"/>
        </w:rPr>
      </w:pPr>
      <w:r>
        <w:rPr>
          <w:rFonts w:hint="eastAsia" w:ascii="Times New Roman" w:hAnsi="Times New Roman" w:eastAsia="黑体"/>
          <w:sz w:val="36"/>
          <w:szCs w:val="36"/>
        </w:rPr>
        <w:t>起草说明</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2023</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国家市场监管总局</w:t>
      </w:r>
      <w:r>
        <w:rPr>
          <w:rFonts w:hint="eastAsia" w:ascii="Times New Roman" w:hAnsi="Times New Roman" w:eastAsia="仿宋_GB2312"/>
          <w:sz w:val="32"/>
          <w:szCs w:val="32"/>
        </w:rPr>
        <w:t>发布了《保健食品原料目录 人参》《保健食品原料目录 西洋参》《保健食品原料目录 灵芝》。为使上述原料尽快实施备案管理，</w:t>
      </w:r>
      <w:r>
        <w:rPr>
          <w:rFonts w:hint="eastAsia" w:ascii="Times New Roman" w:hAnsi="Times New Roman" w:eastAsia="仿宋" w:cs="PMingLiU"/>
          <w:sz w:val="32"/>
          <w:szCs w:val="32"/>
          <w:lang w:val="zh-CN" w:bidi="zh-CN"/>
          <w14:ligatures w14:val="none"/>
        </w:rPr>
        <w:t>总局委托食审中心</w:t>
      </w:r>
      <w:r>
        <w:rPr>
          <w:rFonts w:hint="eastAsia" w:ascii="Times New Roman" w:hAnsi="Times New Roman" w:eastAsia="仿宋_GB2312"/>
          <w:sz w:val="32"/>
          <w:szCs w:val="32"/>
        </w:rPr>
        <w:t>制定原料在产品备</w:t>
      </w:r>
      <w:r>
        <w:rPr>
          <w:rFonts w:hint="eastAsia" w:ascii="Times New Roman" w:hAnsi="Times New Roman" w:eastAsia="仿宋" w:cs="PMingLiU"/>
          <w:sz w:val="32"/>
          <w:szCs w:val="32"/>
          <w:lang w:val="zh-CN" w:bidi="zh-CN"/>
          <w14:ligatures w14:val="none"/>
        </w:rPr>
        <w:t>案时的技术要求。食审中心根据已批准注册的保健食品情况，参考中药和食品相关规定，以及保健食品监管法规文件，起草了产品备案的技术文件，并组</w:t>
      </w:r>
      <w:r>
        <w:rPr>
          <w:rFonts w:hint="eastAsia" w:ascii="Times New Roman" w:hAnsi="Times New Roman" w:eastAsia="仿宋_GB2312"/>
          <w:sz w:val="32"/>
          <w:szCs w:val="32"/>
        </w:rPr>
        <w:t>织业内专家、行业协会召开专题咨询会形成了此次征求意见稿。</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、产品备案时辅料使用要求</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允许</w:t>
      </w:r>
      <w:r>
        <w:rPr>
          <w:rFonts w:ascii="Times New Roman" w:hAnsi="Times New Roman" w:eastAsia="仿宋_GB2312"/>
          <w:sz w:val="32"/>
          <w:szCs w:val="32"/>
        </w:rPr>
        <w:t>使用的辅料名单</w:t>
      </w:r>
      <w:r>
        <w:rPr>
          <w:rFonts w:hint="eastAsia" w:ascii="Times New Roman" w:hAnsi="Times New Roman" w:eastAsia="仿宋_GB2312"/>
          <w:sz w:val="32"/>
          <w:szCs w:val="32"/>
        </w:rPr>
        <w:t>。根据已批准注册含单方原料的产品情况，制定了可用于备案的辅料名单。</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辅料</w:t>
      </w:r>
      <w:r>
        <w:rPr>
          <w:rFonts w:ascii="Times New Roman" w:hAnsi="Times New Roman" w:eastAsia="仿宋_GB2312"/>
          <w:sz w:val="32"/>
          <w:szCs w:val="32"/>
        </w:rPr>
        <w:t>使用要求</w:t>
      </w:r>
      <w:r>
        <w:rPr>
          <w:rFonts w:hint="eastAsia" w:ascii="Times New Roman" w:hAnsi="Times New Roman" w:eastAsia="仿宋_GB2312"/>
          <w:sz w:val="32"/>
          <w:szCs w:val="32"/>
        </w:rPr>
        <w:t>。辅料主要为满足制剂成型使用，不能对产品安全性、功能性、质量可控性产生影响。</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使用名单</w:t>
      </w:r>
      <w:r>
        <w:rPr>
          <w:rFonts w:ascii="Times New Roman" w:hAnsi="Times New Roman" w:eastAsia="仿宋_GB2312"/>
          <w:sz w:val="32"/>
          <w:szCs w:val="32"/>
        </w:rPr>
        <w:t>外的辅料要求</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对于</w:t>
      </w:r>
      <w:r>
        <w:rPr>
          <w:rFonts w:ascii="Times New Roman" w:hAnsi="Times New Roman" w:eastAsia="仿宋_GB2312"/>
          <w:sz w:val="32"/>
          <w:szCs w:val="32"/>
        </w:rPr>
        <w:t>确需使用上述辅料名单外</w:t>
      </w:r>
      <w:r>
        <w:rPr>
          <w:rFonts w:hint="eastAsia" w:ascii="Times New Roman" w:hAnsi="Times New Roman" w:eastAsia="仿宋_GB2312"/>
          <w:sz w:val="32"/>
          <w:szCs w:val="32"/>
        </w:rPr>
        <w:t>，《保健食品备案产品可用辅料及其使用规定》内的辅料</w:t>
      </w:r>
      <w:r>
        <w:rPr>
          <w:rFonts w:ascii="Times New Roman" w:hAnsi="Times New Roman" w:eastAsia="仿宋_GB2312"/>
          <w:sz w:val="32"/>
          <w:szCs w:val="32"/>
        </w:rPr>
        <w:t>，</w:t>
      </w:r>
      <w:r>
        <w:rPr>
          <w:rFonts w:hint="eastAsia" w:ascii="Times New Roman" w:hAnsi="Times New Roman" w:eastAsia="仿宋_GB2312"/>
          <w:sz w:val="32"/>
          <w:szCs w:val="32"/>
        </w:rPr>
        <w:t>备案人应提交研究资料，并对产品安全性、功效性和质量可控性负责。</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产品备案的剂型</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根据已批准产品和中药的常用剂型，制定可用的备案剂型及技术要求。</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明确目前市场上食品形态的人参蜜片暂不列入上述备案产品可用范围。</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针对三个原料的产品备案，规定了茶剂主要工序，并对剂型中工序选用进行说明。对原料采用辐照灭菌的标签标识也进行明确。</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 xml:space="preserve"> 对于采用非上述剂型生产产品的，使用其他药品剂型和其他普通</w:t>
      </w:r>
      <w:r>
        <w:rPr>
          <w:rFonts w:ascii="Times New Roman" w:hAnsi="Times New Roman" w:eastAsia="仿宋_GB2312"/>
          <w:sz w:val="32"/>
          <w:szCs w:val="32"/>
        </w:rPr>
        <w:t>食品形态的</w:t>
      </w:r>
      <w:r>
        <w:rPr>
          <w:rFonts w:hint="eastAsia" w:ascii="Times New Roman" w:hAnsi="Times New Roman" w:eastAsia="仿宋_GB2312"/>
          <w:sz w:val="32"/>
          <w:szCs w:val="32"/>
        </w:rPr>
        <w:t>产品分别规定，但都应符合保健食品的属性要求</w:t>
      </w:r>
      <w:r>
        <w:rPr>
          <w:rFonts w:ascii="Times New Roman" w:hAnsi="Times New Roman" w:eastAsia="仿宋_GB2312"/>
          <w:sz w:val="32"/>
          <w:szCs w:val="32"/>
        </w:rPr>
        <w:t>。</w:t>
      </w:r>
      <w:r>
        <w:rPr>
          <w:rFonts w:hint="eastAsia" w:ascii="Times New Roman" w:hAnsi="Times New Roman" w:eastAsia="仿宋_GB2312"/>
          <w:sz w:val="32"/>
          <w:szCs w:val="32"/>
        </w:rPr>
        <w:t>对于使用酒剂的产品，生产和技术要求应符合</w:t>
      </w:r>
      <w:r>
        <w:rPr>
          <w:rFonts w:ascii="Times New Roman" w:hAnsi="Times New Roman" w:eastAsia="仿宋_GB2312"/>
          <w:sz w:val="32"/>
          <w:szCs w:val="32"/>
        </w:rPr>
        <w:t>现行《</w:t>
      </w:r>
      <w:r>
        <w:rPr>
          <w:rFonts w:hint="eastAsia" w:ascii="Times New Roman" w:hAnsi="Times New Roman" w:eastAsia="仿宋_GB2312"/>
          <w:sz w:val="32"/>
          <w:szCs w:val="32"/>
        </w:rPr>
        <w:t>中国</w:t>
      </w:r>
      <w:r>
        <w:rPr>
          <w:rFonts w:ascii="Times New Roman" w:hAnsi="Times New Roman" w:eastAsia="仿宋_GB2312"/>
          <w:sz w:val="32"/>
          <w:szCs w:val="32"/>
        </w:rPr>
        <w:t>药典》</w:t>
      </w:r>
      <w:r>
        <w:rPr>
          <w:rFonts w:hint="eastAsia" w:ascii="Times New Roman" w:hAnsi="Times New Roman" w:eastAsia="仿宋_GB2312"/>
          <w:sz w:val="32"/>
          <w:szCs w:val="32"/>
        </w:rPr>
        <w:t>酒</w:t>
      </w:r>
      <w:r>
        <w:rPr>
          <w:rFonts w:ascii="Times New Roman" w:hAnsi="Times New Roman" w:eastAsia="仿宋_GB2312"/>
          <w:sz w:val="32"/>
          <w:szCs w:val="32"/>
        </w:rPr>
        <w:t>剂项下</w:t>
      </w:r>
      <w:r>
        <w:rPr>
          <w:rFonts w:hint="eastAsia" w:ascii="Times New Roman" w:hAnsi="Times New Roman" w:eastAsia="仿宋_GB2312"/>
          <w:sz w:val="32"/>
          <w:szCs w:val="32"/>
        </w:rPr>
        <w:t>技术要求。</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w:t>
      </w:r>
      <w:r>
        <w:rPr>
          <w:rFonts w:hint="eastAsia" w:ascii="Times New Roman" w:hAnsi="Times New Roman" w:eastAsia="仿宋_GB2312"/>
          <w:sz w:val="32"/>
          <w:szCs w:val="32"/>
        </w:rPr>
        <w:t>允许产品可采用原料和备案人</w:t>
      </w:r>
      <w:r>
        <w:rPr>
          <w:rFonts w:ascii="Times New Roman" w:hAnsi="Times New Roman" w:eastAsia="仿宋_GB2312"/>
          <w:sz w:val="32"/>
          <w:szCs w:val="32"/>
        </w:rPr>
        <w:t>对</w:t>
      </w:r>
      <w:r>
        <w:rPr>
          <w:rFonts w:hint="eastAsia" w:ascii="Times New Roman" w:hAnsi="Times New Roman" w:eastAsia="仿宋_GB2312"/>
          <w:sz w:val="32"/>
          <w:szCs w:val="32"/>
        </w:rPr>
        <w:t>原料经水提取后混合制成的产</w:t>
      </w:r>
      <w:r>
        <w:rPr>
          <w:rFonts w:ascii="Times New Roman" w:hAnsi="Times New Roman" w:eastAsia="仿宋_GB2312"/>
          <w:sz w:val="32"/>
          <w:szCs w:val="32"/>
        </w:rPr>
        <w:t>品</w:t>
      </w:r>
      <w:r>
        <w:rPr>
          <w:rFonts w:hint="eastAsia" w:ascii="Times New Roman" w:hAnsi="Times New Roman" w:eastAsia="仿宋_GB2312"/>
          <w:sz w:val="32"/>
          <w:szCs w:val="32"/>
        </w:rPr>
        <w:t>进行</w:t>
      </w:r>
      <w:r>
        <w:rPr>
          <w:rFonts w:ascii="Times New Roman" w:hAnsi="Times New Roman" w:eastAsia="仿宋_GB2312"/>
          <w:sz w:val="32"/>
          <w:szCs w:val="32"/>
        </w:rPr>
        <w:t>备案</w:t>
      </w:r>
      <w:r>
        <w:rPr>
          <w:rFonts w:hint="eastAsia" w:ascii="Times New Roman" w:hAnsi="Times New Roman" w:eastAsia="仿宋_GB2312"/>
          <w:sz w:val="32"/>
          <w:szCs w:val="32"/>
        </w:rPr>
        <w:t>。对于</w:t>
      </w:r>
      <w:r>
        <w:rPr>
          <w:rFonts w:ascii="Times New Roman" w:hAnsi="Times New Roman" w:eastAsia="仿宋_GB2312"/>
          <w:sz w:val="32"/>
          <w:szCs w:val="32"/>
        </w:rPr>
        <w:t>已批准</w:t>
      </w:r>
      <w:r>
        <w:rPr>
          <w:rFonts w:hint="eastAsia" w:ascii="Times New Roman" w:hAnsi="Times New Roman" w:eastAsia="仿宋_GB2312"/>
          <w:sz w:val="32"/>
          <w:szCs w:val="32"/>
        </w:rPr>
        <w:t>注册的保健食品，符合相关要求的均应转为备案管理。</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三、产品生产工艺要求</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用于备案的原料应固定基源、产地（产区）。可以使用</w:t>
      </w:r>
      <w:r>
        <w:rPr>
          <w:rFonts w:ascii="Times New Roman" w:hAnsi="Times New Roman" w:eastAsia="仿宋_GB2312"/>
          <w:sz w:val="32"/>
          <w:szCs w:val="32"/>
        </w:rPr>
        <w:t>中药饮片</w:t>
      </w:r>
      <w:r>
        <w:rPr>
          <w:rFonts w:hint="eastAsia" w:ascii="Times New Roman" w:hAnsi="Times New Roman" w:eastAsia="仿宋_GB2312"/>
          <w:sz w:val="32"/>
          <w:szCs w:val="32"/>
        </w:rPr>
        <w:t>或</w:t>
      </w:r>
      <w:r>
        <w:rPr>
          <w:rFonts w:ascii="Times New Roman" w:hAnsi="Times New Roman" w:eastAsia="仿宋_GB2312"/>
          <w:sz w:val="32"/>
          <w:szCs w:val="32"/>
        </w:rPr>
        <w:t>中药材</w:t>
      </w:r>
      <w:r>
        <w:rPr>
          <w:rFonts w:hint="eastAsia" w:ascii="Times New Roman" w:hAnsi="Times New Roman" w:eastAsia="仿宋_GB2312"/>
          <w:sz w:val="32"/>
          <w:szCs w:val="32"/>
        </w:rPr>
        <w:t>投料，</w:t>
      </w:r>
      <w:r>
        <w:rPr>
          <w:rFonts w:ascii="Times New Roman" w:hAnsi="Times New Roman" w:eastAsia="仿宋_GB2312"/>
          <w:sz w:val="32"/>
          <w:szCs w:val="32"/>
        </w:rPr>
        <w:t>备案人应具备</w:t>
      </w:r>
      <w:r>
        <w:rPr>
          <w:rFonts w:hint="eastAsia" w:ascii="Times New Roman" w:hAnsi="Times New Roman" w:eastAsia="仿宋_GB2312"/>
          <w:sz w:val="32"/>
          <w:szCs w:val="32"/>
        </w:rPr>
        <w:t>原料前处理</w:t>
      </w:r>
      <w:r>
        <w:rPr>
          <w:rFonts w:ascii="Times New Roman" w:hAnsi="Times New Roman" w:eastAsia="仿宋_GB2312"/>
          <w:sz w:val="32"/>
          <w:szCs w:val="32"/>
        </w:rPr>
        <w:t>加工</w:t>
      </w:r>
      <w:r>
        <w:rPr>
          <w:rFonts w:hint="eastAsia" w:ascii="Times New Roman" w:hAnsi="Times New Roman" w:eastAsia="仿宋_GB2312"/>
          <w:sz w:val="32"/>
          <w:szCs w:val="32"/>
        </w:rPr>
        <w:t>能力。</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产品备案时，不应再有其他引起物质基础发生改变的生产工艺（如蒸制等）。</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根据前期原料目录征求意见，明确了经</w:t>
      </w:r>
      <w:r>
        <w:rPr>
          <w:rFonts w:ascii="Times New Roman" w:hAnsi="Times New Roman" w:eastAsia="仿宋_GB2312"/>
          <w:sz w:val="32"/>
          <w:szCs w:val="32"/>
        </w:rPr>
        <w:t>物理粉碎后制成产品</w:t>
      </w:r>
      <w:r>
        <w:rPr>
          <w:rFonts w:hint="eastAsia" w:ascii="Times New Roman" w:hAnsi="Times New Roman" w:eastAsia="仿宋_GB2312"/>
          <w:sz w:val="32"/>
          <w:szCs w:val="32"/>
        </w:rPr>
        <w:t>的原料原则上不宜超过</w:t>
      </w:r>
      <w:r>
        <w:rPr>
          <w:rFonts w:ascii="Times New Roman" w:hAnsi="Times New Roman" w:eastAsia="仿宋_GB2312"/>
          <w:sz w:val="32"/>
          <w:szCs w:val="32"/>
        </w:rPr>
        <w:t>200</w:t>
      </w:r>
      <w:r>
        <w:rPr>
          <w:rFonts w:hint="eastAsia" w:ascii="Times New Roman" w:hAnsi="Times New Roman" w:eastAsia="仿宋_GB2312"/>
          <w:sz w:val="32"/>
          <w:szCs w:val="32"/>
        </w:rPr>
        <w:t>目，</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明确了以水为溶媒的主要工序。对于作为提取溶剂的水也作出规定。水煎煮应符合传统煎煮方法，生产工艺参数设定应保</w:t>
      </w:r>
      <w:r>
        <w:rPr>
          <w:rFonts w:ascii="Times New Roman" w:hAnsi="Times New Roman" w:eastAsia="仿宋_GB2312"/>
          <w:sz w:val="32"/>
          <w:szCs w:val="32"/>
        </w:rPr>
        <w:t>证药材中有效成分的充分释放</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w:t>
      </w:r>
      <w:r>
        <w:rPr>
          <w:rFonts w:hint="eastAsia" w:ascii="Times New Roman" w:hAnsi="Times New Roman" w:eastAsia="仿宋_GB2312"/>
          <w:sz w:val="32"/>
          <w:szCs w:val="32"/>
        </w:rPr>
        <w:t>为使备案的产品在大生产时，减少获得备案凭证后主要工序和主要工艺参数发生变更，备案人提交的生产研究资料应为商业规模生产，而不能用中试生产。对于此类原料经提取后的实际情况，不需要在配方中明确填充剂、稀释剂的具体用量。</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四、产品技术要求</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产品</w:t>
      </w:r>
      <w:r>
        <w:rPr>
          <w:rFonts w:ascii="Times New Roman" w:hAnsi="Times New Roman" w:eastAsia="仿宋_GB2312"/>
          <w:sz w:val="32"/>
          <w:szCs w:val="32"/>
        </w:rPr>
        <w:t>名称</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以人参为原料的产品备案时，人参必须符合原料目录的原料技术要求。考虑到林下山参种植、鉴别等特别情况，</w:t>
      </w:r>
      <w:r>
        <w:rPr>
          <w:rFonts w:ascii="Times New Roman" w:hAnsi="Times New Roman" w:eastAsia="仿宋_GB2312"/>
          <w:sz w:val="32"/>
          <w:szCs w:val="32"/>
        </w:rPr>
        <w:t>产品</w:t>
      </w:r>
      <w:r>
        <w:rPr>
          <w:rFonts w:hint="eastAsia" w:ascii="Times New Roman" w:hAnsi="Times New Roman" w:eastAsia="仿宋_GB2312"/>
          <w:sz w:val="32"/>
          <w:szCs w:val="32"/>
        </w:rPr>
        <w:t>备案时</w:t>
      </w:r>
      <w:r>
        <w:rPr>
          <w:rFonts w:ascii="Times New Roman" w:hAnsi="Times New Roman" w:eastAsia="仿宋_GB2312"/>
          <w:sz w:val="32"/>
          <w:szCs w:val="32"/>
        </w:rPr>
        <w:t>，不</w:t>
      </w:r>
      <w:r>
        <w:rPr>
          <w:rFonts w:hint="eastAsia" w:ascii="Times New Roman" w:hAnsi="Times New Roman" w:eastAsia="仿宋_GB2312"/>
          <w:sz w:val="32"/>
          <w:szCs w:val="32"/>
        </w:rPr>
        <w:t>应</w:t>
      </w:r>
      <w:r>
        <w:rPr>
          <w:rFonts w:ascii="Times New Roman" w:hAnsi="Times New Roman" w:eastAsia="仿宋_GB2312"/>
          <w:sz w:val="32"/>
          <w:szCs w:val="32"/>
        </w:rPr>
        <w:t>在</w:t>
      </w:r>
      <w:r>
        <w:rPr>
          <w:rFonts w:hint="eastAsia" w:ascii="Times New Roman" w:hAnsi="Times New Roman" w:eastAsia="仿宋_GB2312"/>
          <w:sz w:val="32"/>
          <w:szCs w:val="32"/>
        </w:rPr>
        <w:t>备案凭证、</w:t>
      </w:r>
      <w:r>
        <w:rPr>
          <w:rFonts w:ascii="Times New Roman" w:hAnsi="Times New Roman" w:eastAsia="仿宋_GB2312"/>
          <w:sz w:val="32"/>
          <w:szCs w:val="32"/>
        </w:rPr>
        <w:t>产品说明书</w:t>
      </w:r>
      <w:r>
        <w:rPr>
          <w:rFonts w:hint="eastAsia" w:ascii="Times New Roman" w:hAnsi="Times New Roman" w:eastAsia="仿宋_GB2312"/>
          <w:sz w:val="32"/>
          <w:szCs w:val="32"/>
        </w:rPr>
        <w:t>和</w:t>
      </w:r>
      <w:r>
        <w:rPr>
          <w:rFonts w:ascii="Times New Roman" w:hAnsi="Times New Roman" w:eastAsia="仿宋_GB2312"/>
          <w:sz w:val="32"/>
          <w:szCs w:val="32"/>
        </w:rPr>
        <w:t>产品技术要求中</w:t>
      </w:r>
      <w:r>
        <w:rPr>
          <w:rFonts w:hint="eastAsia" w:ascii="Times New Roman" w:hAnsi="Times New Roman" w:eastAsia="仿宋_GB2312"/>
          <w:sz w:val="32"/>
          <w:szCs w:val="32"/>
        </w:rPr>
        <w:t>体现</w:t>
      </w:r>
      <w:r>
        <w:rPr>
          <w:rFonts w:ascii="Times New Roman" w:hAnsi="Times New Roman" w:eastAsia="仿宋_GB2312"/>
          <w:sz w:val="32"/>
          <w:szCs w:val="32"/>
        </w:rPr>
        <w:t>“</w:t>
      </w:r>
      <w:r>
        <w:rPr>
          <w:rFonts w:hint="eastAsia" w:ascii="Times New Roman" w:hAnsi="Times New Roman" w:eastAsia="仿宋_GB2312"/>
          <w:sz w:val="32"/>
          <w:szCs w:val="32"/>
        </w:rPr>
        <w:t>林下</w:t>
      </w:r>
      <w:r>
        <w:rPr>
          <w:rFonts w:ascii="Times New Roman" w:hAnsi="Times New Roman" w:eastAsia="仿宋_GB2312"/>
          <w:sz w:val="32"/>
          <w:szCs w:val="32"/>
        </w:rPr>
        <w:t>山参”</w:t>
      </w:r>
      <w:r>
        <w:rPr>
          <w:rFonts w:hint="eastAsia" w:ascii="Times New Roman" w:hAnsi="Times New Roman" w:eastAsia="仿宋_GB2312"/>
          <w:sz w:val="32"/>
          <w:szCs w:val="32"/>
        </w:rPr>
        <w:t>。 使用</w:t>
      </w:r>
      <w:r>
        <w:rPr>
          <w:rFonts w:ascii="Times New Roman" w:hAnsi="Times New Roman" w:eastAsia="仿宋_GB2312"/>
          <w:sz w:val="32"/>
          <w:szCs w:val="32"/>
        </w:rPr>
        <w:t>林下山参</w:t>
      </w:r>
      <w:r>
        <w:rPr>
          <w:rFonts w:hint="eastAsia" w:ascii="Times New Roman" w:hAnsi="Times New Roman" w:eastAsia="仿宋_GB2312"/>
          <w:sz w:val="32"/>
          <w:szCs w:val="32"/>
        </w:rPr>
        <w:t>作为原料的产品可申请保健食品</w:t>
      </w:r>
      <w:r>
        <w:rPr>
          <w:rFonts w:ascii="Times New Roman" w:hAnsi="Times New Roman" w:eastAsia="仿宋_GB2312"/>
          <w:sz w:val="32"/>
          <w:szCs w:val="32"/>
        </w:rPr>
        <w:t>注册。</w:t>
      </w:r>
      <w:r>
        <w:rPr>
          <w:rFonts w:hint="eastAsia" w:ascii="Times New Roman" w:hAnsi="Times New Roman" w:eastAsia="仿宋_GB2312"/>
          <w:sz w:val="32"/>
          <w:szCs w:val="32"/>
        </w:rPr>
        <w:t>对于不同品种灵芝产品备案时，允许以不同种名命名产品名称。</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2.鉴别、理化指标：应符合剂型、食品和保健食品相关要求。</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标志性成分：规定了标志性成分的制定原则。鉴于目前已有功能类产品备案时出现的情况，规定如增设其他指标的，应提供已有的文献报道，并说明具有量效关系等的资料。</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w:t>
      </w:r>
      <w:r>
        <w:rPr>
          <w:rFonts w:hint="eastAsia" w:ascii="Times New Roman" w:hAnsi="Times New Roman" w:eastAsia="仿宋_GB2312"/>
          <w:sz w:val="32"/>
          <w:szCs w:val="32"/>
        </w:rPr>
        <w:t>产品</w:t>
      </w:r>
      <w:r>
        <w:rPr>
          <w:rFonts w:ascii="Times New Roman" w:hAnsi="Times New Roman" w:eastAsia="仿宋_GB2312"/>
          <w:sz w:val="32"/>
          <w:szCs w:val="32"/>
        </w:rPr>
        <w:t>备案的其他要求</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此部分内容中对原料的基本要求与在已纳入备案管理的功能类产品要求保持一致。由于首次将中药类原料纳入备案管理，产品需要提取的生产工艺的，严格</w:t>
      </w:r>
      <w:r>
        <w:rPr>
          <w:rStyle w:val="10"/>
          <w:rFonts w:hint="default" w:ascii="Times New Roman" w:hAnsi="Times New Roman"/>
        </w:rPr>
        <w:t>按照2019年公布的《食品安全法实施条例》第三十五条规定执行。同时备案人应落实主体责任，各省加强对备案产品的追溯和监管</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仿宋_GB2312" w:cs="Times New Roman"/>
          <w:b/>
          <w:bCs/>
          <w:color w:val="auto"/>
          <w:sz w:val="28"/>
          <w:szCs w:val="28"/>
        </w:rPr>
      </w:pPr>
    </w:p>
    <w:sectPr>
      <w:footerReference r:id="rId3" w:type="default"/>
      <w:pgSz w:w="11906" w:h="16838"/>
      <w:pgMar w:top="1984" w:right="1474" w:bottom="1644"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F2D24"/>
    <w:rsid w:val="050666FE"/>
    <w:rsid w:val="058A697B"/>
    <w:rsid w:val="0B4E697D"/>
    <w:rsid w:val="0D614800"/>
    <w:rsid w:val="0E205F6D"/>
    <w:rsid w:val="11B55FA2"/>
    <w:rsid w:val="13882C4F"/>
    <w:rsid w:val="1A6C53A8"/>
    <w:rsid w:val="1DDE660B"/>
    <w:rsid w:val="259F5AA8"/>
    <w:rsid w:val="266A3B30"/>
    <w:rsid w:val="267A62FF"/>
    <w:rsid w:val="28125E48"/>
    <w:rsid w:val="2AA8300C"/>
    <w:rsid w:val="2C9375D2"/>
    <w:rsid w:val="30D87186"/>
    <w:rsid w:val="3104281C"/>
    <w:rsid w:val="31E80257"/>
    <w:rsid w:val="31EF28BA"/>
    <w:rsid w:val="32307685"/>
    <w:rsid w:val="35354AB4"/>
    <w:rsid w:val="356F585C"/>
    <w:rsid w:val="38CD56B6"/>
    <w:rsid w:val="39600BF6"/>
    <w:rsid w:val="3A936D99"/>
    <w:rsid w:val="3B3C2637"/>
    <w:rsid w:val="3BFFD749"/>
    <w:rsid w:val="3E9A4274"/>
    <w:rsid w:val="403D1032"/>
    <w:rsid w:val="418117BE"/>
    <w:rsid w:val="48CA2EC5"/>
    <w:rsid w:val="4D542D91"/>
    <w:rsid w:val="530A10B2"/>
    <w:rsid w:val="53430AFA"/>
    <w:rsid w:val="54035FFC"/>
    <w:rsid w:val="556D03DF"/>
    <w:rsid w:val="55887625"/>
    <w:rsid w:val="55F10E10"/>
    <w:rsid w:val="586B4E51"/>
    <w:rsid w:val="59020690"/>
    <w:rsid w:val="594C53C5"/>
    <w:rsid w:val="5CF508BD"/>
    <w:rsid w:val="5E933C14"/>
    <w:rsid w:val="5F034BFA"/>
    <w:rsid w:val="6776BE0D"/>
    <w:rsid w:val="6860316D"/>
    <w:rsid w:val="689F389F"/>
    <w:rsid w:val="68CF2D24"/>
    <w:rsid w:val="68DE34D1"/>
    <w:rsid w:val="69F726F1"/>
    <w:rsid w:val="6C752839"/>
    <w:rsid w:val="6DB26205"/>
    <w:rsid w:val="746E49DB"/>
    <w:rsid w:val="779C67B0"/>
    <w:rsid w:val="78D42A57"/>
    <w:rsid w:val="79FE6093"/>
    <w:rsid w:val="7BC01A2A"/>
    <w:rsid w:val="7E0E2AE6"/>
    <w:rsid w:val="7F71235A"/>
    <w:rsid w:val="7FDEC718"/>
    <w:rsid w:val="B7FF8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qFormat/>
    <w:uiPriority w:val="1"/>
    <w:pPr>
      <w:widowControl w:val="0"/>
      <w:jc w:val="both"/>
    </w:pPr>
    <w:rPr>
      <w:rFonts w:ascii="PMingLiU" w:hAnsi="PMingLiU" w:eastAsia="PMingLiU" w:cs="PMingLiU"/>
      <w:kern w:val="2"/>
      <w:sz w:val="28"/>
      <w:szCs w:val="28"/>
      <w:lang w:val="zh-CN" w:eastAsia="zh-CN" w:bidi="zh-CN"/>
      <w14:ligatures w14:val="none"/>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网格型1"/>
    <w:basedOn w:val="6"/>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style01"/>
    <w:basedOn w:val="8"/>
    <w:qFormat/>
    <w:uiPriority w:val="0"/>
    <w:rPr>
      <w:rFonts w:hint="eastAsia" w:ascii="仿宋" w:hAnsi="仿宋" w:eastAsia="仿宋"/>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2002-01-05T02:42:00Z</dcterms:created>
  <dc:creator>刘畅</dc:creator>
  <cp:lastModifiedBy>李雪</cp:lastModifiedBy>
  <cp:lastPrinted>2024-02-05T01:52:00Z</cp:lastPrinted>
  <dcterms:modified xsi:type="dcterms:W3CDTF">2024-02-08T01:41:44Z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