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A54F" w14:textId="420BDE35" w:rsidR="00433451" w:rsidRDefault="00433451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433451" w14:paraId="616CE8BD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0CC472B6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43A66491" w14:textId="5E9E71F7" w:rsidR="00433451" w:rsidRDefault="00DE0640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 w:rsidRPr="00DE0640">
              <w:rPr>
                <w:rFonts w:ascii="宋体" w:hAnsi="宋体" w:cs="宋体" w:hint="eastAsia"/>
                <w:bCs/>
                <w:color w:val="000000"/>
                <w:lang w:val="en-US"/>
              </w:rPr>
              <w:t>惠而浦公司</w:t>
            </w:r>
            <w:r w:rsidR="0075362F">
              <w:rPr>
                <w:rFonts w:ascii="宋体" w:hAnsi="宋体" w:cs="宋体" w:hint="eastAsia"/>
                <w:bCs/>
                <w:color w:val="000000"/>
                <w:lang w:val="en-US"/>
              </w:rPr>
              <w:t>收购倍科欧洲公司股权</w:t>
            </w:r>
            <w:r w:rsidRPr="00DE0640">
              <w:rPr>
                <w:rFonts w:ascii="宋体" w:hAnsi="宋体" w:cs="宋体" w:hint="eastAsia"/>
                <w:bCs/>
                <w:color w:val="000000"/>
                <w:lang w:val="en-US"/>
              </w:rPr>
              <w:t>案</w:t>
            </w:r>
          </w:p>
        </w:tc>
      </w:tr>
      <w:tr w:rsidR="00433451" w14:paraId="70DAEFED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2A29813D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422DC492" w14:textId="716F462F" w:rsidR="00914903" w:rsidRPr="007F33D4" w:rsidRDefault="00914903" w:rsidP="0067710E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</w:rPr>
            </w:pPr>
            <w:r w:rsidRPr="00914903">
              <w:rPr>
                <w:rFonts w:ascii="宋体" w:hAnsi="宋体" w:cs="宋体" w:hint="eastAsia"/>
              </w:rPr>
              <w:t>阿奇立克公司（“</w:t>
            </w:r>
            <w:r w:rsidRPr="005919B8">
              <w:rPr>
                <w:rFonts w:ascii="宋体" w:hAnsi="宋体" w:cs="宋体" w:hint="eastAsia"/>
                <w:b/>
                <w:bCs/>
              </w:rPr>
              <w:t>阿奇立克</w:t>
            </w:r>
            <w:r w:rsidRPr="00914903">
              <w:rPr>
                <w:rFonts w:ascii="宋体" w:hAnsi="宋体" w:cs="宋体" w:hint="eastAsia"/>
              </w:rPr>
              <w:t>”）</w:t>
            </w:r>
            <w:r w:rsidR="005919B8">
              <w:rPr>
                <w:rFonts w:ascii="宋体" w:hAnsi="宋体" w:cs="宋体" w:hint="eastAsia"/>
              </w:rPr>
              <w:t>和</w:t>
            </w:r>
            <w:r w:rsidR="00AF6F8A" w:rsidRPr="003724D0">
              <w:rPr>
                <w:rFonts w:hint="eastAsia"/>
                <w:noProof/>
                <w:szCs w:val="21"/>
              </w:rPr>
              <w:t>惠而浦公司（“</w:t>
            </w:r>
            <w:r w:rsidR="00AF6F8A" w:rsidRPr="003724D0">
              <w:rPr>
                <w:rFonts w:hint="eastAsia"/>
                <w:b/>
                <w:bCs/>
                <w:noProof/>
                <w:szCs w:val="21"/>
              </w:rPr>
              <w:t>惠而浦</w:t>
            </w:r>
            <w:r w:rsidR="00AF6F8A" w:rsidRPr="003724D0">
              <w:rPr>
                <w:rFonts w:hint="eastAsia"/>
                <w:noProof/>
                <w:szCs w:val="21"/>
              </w:rPr>
              <w:t>”</w:t>
            </w:r>
            <w:r w:rsidR="00AF6F8A">
              <w:rPr>
                <w:rFonts w:hint="eastAsia"/>
                <w:noProof/>
                <w:szCs w:val="21"/>
              </w:rPr>
              <w:t>）</w:t>
            </w:r>
            <w:r w:rsidR="00B33267">
              <w:rPr>
                <w:rFonts w:hint="eastAsia"/>
                <w:noProof/>
                <w:szCs w:val="21"/>
              </w:rPr>
              <w:t>等签署</w:t>
            </w:r>
            <w:r w:rsidR="00D94388" w:rsidRPr="00D94388">
              <w:rPr>
                <w:rFonts w:hint="eastAsia"/>
                <w:noProof/>
                <w:szCs w:val="21"/>
              </w:rPr>
              <w:t>协议</w:t>
            </w:r>
            <w:r w:rsidR="00B33267">
              <w:rPr>
                <w:rFonts w:hint="eastAsia"/>
                <w:noProof/>
                <w:szCs w:val="21"/>
              </w:rPr>
              <w:t>，阿奇立克收购惠而浦的</w:t>
            </w:r>
            <w:r w:rsidR="00B33267" w:rsidRPr="00B33267">
              <w:rPr>
                <w:rFonts w:hint="eastAsia"/>
                <w:noProof/>
                <w:szCs w:val="21"/>
              </w:rPr>
              <w:t>欧洲大型家用电器业务</w:t>
            </w:r>
            <w:r w:rsidR="006A0F07">
              <w:rPr>
                <w:rFonts w:hint="eastAsia"/>
                <w:noProof/>
                <w:szCs w:val="21"/>
              </w:rPr>
              <w:t>，</w:t>
            </w:r>
            <w:r w:rsidR="006A0F07" w:rsidRPr="00D679CC">
              <w:t>对价为倍科欧洲</w:t>
            </w:r>
            <w:r w:rsidR="006A0F07">
              <w:rPr>
                <w:rFonts w:hint="eastAsia"/>
              </w:rPr>
              <w:t>公司（</w:t>
            </w:r>
            <w:r w:rsidR="006A0F07">
              <w:rPr>
                <w:rFonts w:hint="eastAsia"/>
                <w:noProof/>
                <w:szCs w:val="21"/>
              </w:rPr>
              <w:t>“</w:t>
            </w:r>
            <w:r w:rsidR="006A0F07" w:rsidRPr="006A0F07">
              <w:rPr>
                <w:rFonts w:hint="eastAsia"/>
                <w:b/>
                <w:bCs/>
                <w:noProof/>
                <w:szCs w:val="21"/>
              </w:rPr>
              <w:t>倍科欧洲</w:t>
            </w:r>
            <w:r w:rsidR="006A0F07">
              <w:rPr>
                <w:rFonts w:hint="eastAsia"/>
                <w:noProof/>
                <w:szCs w:val="21"/>
              </w:rPr>
              <w:t>”</w:t>
            </w:r>
            <w:r w:rsidR="006A0F07">
              <w:rPr>
                <w:rFonts w:hint="eastAsia"/>
              </w:rPr>
              <w:t>）</w:t>
            </w:r>
            <w:r w:rsidR="002515F9">
              <w:rPr>
                <w:rFonts w:hint="eastAsia"/>
              </w:rPr>
              <w:t>约</w:t>
            </w:r>
            <w:r w:rsidR="006A0F07" w:rsidRPr="00D679CC">
              <w:t>25%</w:t>
            </w:r>
            <w:r w:rsidR="006A0F07" w:rsidRPr="00D679CC">
              <w:t>的股权</w:t>
            </w:r>
            <w:r w:rsidR="00F959B3">
              <w:rPr>
                <w:rFonts w:hint="eastAsia"/>
              </w:rPr>
              <w:t>。</w:t>
            </w:r>
            <w:r w:rsidR="006A0F07" w:rsidRPr="00E316A1">
              <w:rPr>
                <w:rFonts w:hint="eastAsia"/>
                <w:noProof/>
                <w:szCs w:val="21"/>
                <w:lang w:val="en-US"/>
              </w:rPr>
              <w:t>惠而浦的欧洲大型家用电器业务注入倍科欧洲</w:t>
            </w:r>
            <w:r w:rsidR="006A0F07">
              <w:rPr>
                <w:rFonts w:hint="eastAsia"/>
                <w:noProof/>
                <w:szCs w:val="21"/>
                <w:lang w:val="en-US"/>
              </w:rPr>
              <w:t>，</w:t>
            </w:r>
            <w:r w:rsidR="006A0F07" w:rsidRPr="000640A8">
              <w:rPr>
                <w:rFonts w:hint="eastAsia"/>
                <w:noProof/>
                <w:szCs w:val="21"/>
              </w:rPr>
              <w:t>同时，</w:t>
            </w:r>
            <w:r w:rsidR="006A0F07" w:rsidRPr="007552F5">
              <w:rPr>
                <w:rFonts w:hint="eastAsia"/>
                <w:noProof/>
                <w:szCs w:val="21"/>
              </w:rPr>
              <w:t>阿奇立克</w:t>
            </w:r>
            <w:r w:rsidR="006A0F07" w:rsidRPr="000640A8">
              <w:rPr>
                <w:rFonts w:hint="eastAsia"/>
                <w:noProof/>
                <w:szCs w:val="21"/>
              </w:rPr>
              <w:t>的欧洲</w:t>
            </w:r>
            <w:r w:rsidR="006A0F07">
              <w:rPr>
                <w:rFonts w:hint="eastAsia"/>
                <w:noProof/>
                <w:szCs w:val="21"/>
              </w:rPr>
              <w:t>大型</w:t>
            </w:r>
            <w:r w:rsidR="006A0F07" w:rsidRPr="000640A8">
              <w:rPr>
                <w:rFonts w:hint="eastAsia"/>
                <w:noProof/>
                <w:szCs w:val="21"/>
              </w:rPr>
              <w:t>家用电器业务和小型家用电器业务</w:t>
            </w:r>
            <w:r w:rsidR="006A0F07">
              <w:rPr>
                <w:rFonts w:hint="eastAsia"/>
                <w:noProof/>
                <w:szCs w:val="21"/>
              </w:rPr>
              <w:t>也注入倍科欧洲</w:t>
            </w:r>
            <w:r w:rsidR="00EE2667">
              <w:rPr>
                <w:rFonts w:hint="eastAsia"/>
                <w:noProof/>
                <w:szCs w:val="21"/>
              </w:rPr>
              <w:t>。</w:t>
            </w:r>
            <w:r w:rsidR="00B33267">
              <w:rPr>
                <w:rFonts w:hint="eastAsia"/>
                <w:noProof/>
                <w:szCs w:val="21"/>
              </w:rPr>
              <w:t>交易前，阿奇立克持有倍科欧洲</w:t>
            </w:r>
            <w:r w:rsidR="00B33267">
              <w:rPr>
                <w:rFonts w:hint="eastAsia"/>
                <w:noProof/>
                <w:szCs w:val="21"/>
              </w:rPr>
              <w:t>1</w:t>
            </w:r>
            <w:r w:rsidR="00B33267">
              <w:rPr>
                <w:noProof/>
                <w:szCs w:val="21"/>
              </w:rPr>
              <w:t>00</w:t>
            </w:r>
            <w:r w:rsidR="00B33267">
              <w:rPr>
                <w:rFonts w:hint="eastAsia"/>
                <w:noProof/>
                <w:szCs w:val="21"/>
              </w:rPr>
              <w:t>%</w:t>
            </w:r>
            <w:r w:rsidR="00B33267">
              <w:rPr>
                <w:rFonts w:hint="eastAsia"/>
                <w:noProof/>
                <w:szCs w:val="21"/>
              </w:rPr>
              <w:t>的股权，单独控制倍科欧洲</w:t>
            </w:r>
            <w:r w:rsidR="000640A8" w:rsidRPr="000640A8">
              <w:rPr>
                <w:rFonts w:hint="eastAsia"/>
                <w:noProof/>
                <w:szCs w:val="21"/>
              </w:rPr>
              <w:t>。</w:t>
            </w:r>
            <w:r w:rsidR="00E316A1">
              <w:rPr>
                <w:rFonts w:hint="eastAsia"/>
                <w:noProof/>
                <w:szCs w:val="21"/>
              </w:rPr>
              <w:t>交易后，</w:t>
            </w:r>
            <w:r w:rsidR="001D58AE" w:rsidRPr="001D58AE">
              <w:rPr>
                <w:rFonts w:hint="eastAsia"/>
                <w:noProof/>
                <w:szCs w:val="21"/>
              </w:rPr>
              <w:t>阿奇立克</w:t>
            </w:r>
            <w:r w:rsidR="000640A8" w:rsidRPr="000640A8">
              <w:rPr>
                <w:rFonts w:hint="eastAsia"/>
                <w:noProof/>
                <w:szCs w:val="21"/>
              </w:rPr>
              <w:t>和惠而浦将分别持有</w:t>
            </w:r>
            <w:r w:rsidR="007366F5" w:rsidRPr="007366F5">
              <w:rPr>
                <w:rFonts w:hint="eastAsia"/>
                <w:noProof/>
                <w:szCs w:val="21"/>
              </w:rPr>
              <w:t>倍科欧洲</w:t>
            </w:r>
            <w:r w:rsidR="00E73936">
              <w:rPr>
                <w:rFonts w:hint="eastAsia"/>
                <w:noProof/>
                <w:szCs w:val="21"/>
              </w:rPr>
              <w:t>约</w:t>
            </w:r>
            <w:r w:rsidR="000640A8" w:rsidRPr="00936FB8">
              <w:rPr>
                <w:rFonts w:ascii="宋体" w:hAnsi="宋体" w:cs="宋体" w:hint="eastAsia"/>
                <w:bCs/>
                <w:color w:val="000000"/>
              </w:rPr>
              <w:t>75%和25%的</w:t>
            </w:r>
            <w:r w:rsidR="007366F5">
              <w:rPr>
                <w:rFonts w:hint="eastAsia"/>
                <w:noProof/>
                <w:szCs w:val="21"/>
              </w:rPr>
              <w:t>股权</w:t>
            </w:r>
            <w:r w:rsidR="00E316A1">
              <w:rPr>
                <w:rFonts w:hint="eastAsia"/>
                <w:noProof/>
                <w:szCs w:val="21"/>
              </w:rPr>
              <w:t>，</w:t>
            </w:r>
            <w:r w:rsidR="0075362F">
              <w:rPr>
                <w:rFonts w:hint="eastAsia"/>
                <w:noProof/>
                <w:szCs w:val="21"/>
              </w:rPr>
              <w:t>双方</w:t>
            </w:r>
            <w:r w:rsidR="00E316A1">
              <w:rPr>
                <w:rFonts w:hint="eastAsia"/>
                <w:noProof/>
                <w:szCs w:val="21"/>
              </w:rPr>
              <w:t>共同控制</w:t>
            </w:r>
            <w:r w:rsidR="0075362F">
              <w:rPr>
                <w:rFonts w:hint="eastAsia"/>
                <w:noProof/>
                <w:szCs w:val="21"/>
              </w:rPr>
              <w:t>倍科欧洲</w:t>
            </w:r>
            <w:r w:rsidR="000640A8" w:rsidRPr="000640A8">
              <w:rPr>
                <w:rFonts w:hint="eastAsia"/>
                <w:noProof/>
                <w:szCs w:val="21"/>
              </w:rPr>
              <w:t>。</w:t>
            </w:r>
          </w:p>
        </w:tc>
      </w:tr>
      <w:tr w:rsidR="0019131C" w14:paraId="3FF8A9C9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A333D9A" w14:textId="77777777" w:rsidR="0019131C" w:rsidRDefault="0019131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3ACF0301" w14:textId="350A7B19" w:rsidR="0019131C" w:rsidRDefault="0019131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r w:rsidRPr="00DA32D0">
              <w:rPr>
                <w:rFonts w:ascii="宋体" w:hAnsi="宋体" w:cs="宋体" w:hint="eastAsia"/>
                <w:bCs/>
                <w:color w:val="000000"/>
                <w:lang w:eastAsia="zh-CN"/>
              </w:rPr>
              <w:t>阿奇立克</w:t>
            </w:r>
          </w:p>
        </w:tc>
        <w:tc>
          <w:tcPr>
            <w:tcW w:w="6093" w:type="dxa"/>
            <w:vAlign w:val="center"/>
          </w:tcPr>
          <w:p w14:paraId="7A2061D3" w14:textId="5A7898F0" w:rsidR="0019131C" w:rsidRPr="00E04A75" w:rsidRDefault="0019131C" w:rsidP="0067710E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DA32D0">
              <w:rPr>
                <w:rFonts w:ascii="宋体" w:hAnsi="宋体" w:cs="宋体" w:hint="eastAsia"/>
                <w:bCs/>
                <w:color w:val="000000"/>
                <w:lang w:eastAsia="zh-CN"/>
              </w:rPr>
              <w:t>阿奇立克</w:t>
            </w:r>
            <w:r w:rsidRPr="00E04A75">
              <w:rPr>
                <w:rFonts w:ascii="宋体" w:hAnsi="宋体" w:cs="宋体" w:hint="eastAsia"/>
                <w:bCs/>
                <w:color w:val="000000"/>
                <w:lang w:eastAsia="zh-CN"/>
              </w:rPr>
              <w:t>于1955年1月21日</w:t>
            </w:r>
            <w:r w:rsidRPr="001A1098">
              <w:rPr>
                <w:rFonts w:ascii="宋体" w:hAnsi="宋体" w:cs="宋体" w:hint="eastAsia"/>
                <w:bCs/>
                <w:color w:val="000000"/>
                <w:lang w:eastAsia="zh-CN"/>
              </w:rPr>
              <w:t>成立于</w:t>
            </w:r>
            <w:r w:rsidRPr="00E04A75">
              <w:rPr>
                <w:rFonts w:ascii="宋体" w:hAnsi="宋体" w:cs="宋体" w:hint="eastAsia"/>
                <w:bCs/>
                <w:color w:val="000000"/>
                <w:lang w:eastAsia="zh-CN"/>
              </w:rPr>
              <w:t>土耳其，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为</w:t>
            </w:r>
            <w:r w:rsidRPr="00E04A75">
              <w:rPr>
                <w:rFonts w:ascii="宋体" w:hAnsi="宋体" w:cs="宋体" w:hint="eastAsia"/>
                <w:bCs/>
                <w:color w:val="000000"/>
                <w:lang w:eastAsia="zh-CN"/>
              </w:rPr>
              <w:t>伊斯坦布尔证券交易所上市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公司，主要从事</w:t>
            </w:r>
            <w:r w:rsidRPr="00353485">
              <w:rPr>
                <w:rFonts w:ascii="宋体" w:hAnsi="宋体" w:cs="宋体" w:hint="eastAsia"/>
                <w:bCs/>
                <w:color w:val="000000"/>
                <w:lang w:eastAsia="zh-CN"/>
              </w:rPr>
              <w:t>各种家用电器和消费电子产品的全球供应</w:t>
            </w:r>
            <w:r w:rsidR="003B2280">
              <w:rPr>
                <w:rFonts w:ascii="宋体" w:hAnsi="宋体" w:cs="宋体" w:hint="eastAsia"/>
                <w:bCs/>
                <w:color w:val="000000"/>
                <w:lang w:eastAsia="zh-CN"/>
              </w:rPr>
              <w:t>业务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</w:p>
          <w:p w14:paraId="4755CF44" w14:textId="77777777" w:rsidR="0019131C" w:rsidRPr="00E04A75" w:rsidRDefault="0019131C" w:rsidP="0067710E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  <w:p w14:paraId="3552AE62" w14:textId="44B77D95" w:rsidR="0019131C" w:rsidRDefault="0019131C" w:rsidP="0067710E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7472B8">
              <w:rPr>
                <w:rFonts w:ascii="宋体" w:hAnsi="宋体" w:cs="宋体" w:hint="eastAsia"/>
                <w:bCs/>
                <w:color w:val="000000"/>
                <w:lang w:eastAsia="zh-CN"/>
              </w:rPr>
              <w:t>阿奇立克</w:t>
            </w:r>
            <w:r w:rsidRPr="00D11364">
              <w:rPr>
                <w:rFonts w:ascii="宋体" w:hAnsi="宋体" w:cs="宋体" w:hint="eastAsia"/>
                <w:bCs/>
                <w:color w:val="000000"/>
                <w:lang w:eastAsia="zh-CN"/>
              </w:rPr>
              <w:t>的最终控制人为</w:t>
            </w:r>
            <w:r w:rsidRPr="00847B6C">
              <w:rPr>
                <w:rFonts w:ascii="宋体" w:hAnsi="宋体" w:cs="宋体" w:hint="eastAsia"/>
                <w:bCs/>
                <w:color w:val="000000"/>
                <w:lang w:eastAsia="zh-CN"/>
              </w:rPr>
              <w:t>KOC家族</w:t>
            </w:r>
            <w:r w:rsidRPr="00E04A75">
              <w:rPr>
                <w:rFonts w:ascii="宋体" w:hAnsi="宋体" w:cs="宋体" w:hint="eastAsia"/>
                <w:bCs/>
                <w:color w:val="000000"/>
                <w:lang w:eastAsia="zh-CN"/>
              </w:rPr>
              <w:t>，</w:t>
            </w:r>
            <w:r w:rsidRPr="00A641AD">
              <w:rPr>
                <w:rFonts w:ascii="宋体" w:hAnsi="宋体" w:cs="宋体" w:hint="eastAsia"/>
                <w:bCs/>
                <w:color w:val="000000"/>
                <w:lang w:eastAsia="zh-CN"/>
              </w:rPr>
              <w:t>KOC家族控制KOC集团</w:t>
            </w:r>
            <w:r w:rsidRPr="00E04A75"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  <w:r w:rsidRPr="00A641AD">
              <w:rPr>
                <w:rFonts w:ascii="宋体" w:hAnsi="宋体" w:cs="宋体" w:hint="eastAsia"/>
                <w:bCs/>
                <w:color w:val="000000"/>
                <w:lang w:eastAsia="zh-CN"/>
              </w:rPr>
              <w:t>KOC</w:t>
            </w:r>
            <w:r w:rsidRPr="00E04A75">
              <w:rPr>
                <w:rFonts w:ascii="宋体" w:hAnsi="宋体" w:cs="宋体" w:hint="eastAsia"/>
                <w:bCs/>
                <w:color w:val="000000"/>
                <w:lang w:eastAsia="zh-CN"/>
              </w:rPr>
              <w:t>集团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主要在</w:t>
            </w:r>
            <w:r w:rsidRPr="00AE5799">
              <w:rPr>
                <w:rFonts w:ascii="宋体" w:hAnsi="宋体" w:cs="宋体" w:hint="eastAsia"/>
                <w:bCs/>
                <w:color w:val="000000"/>
                <w:lang w:eastAsia="zh-CN"/>
              </w:rPr>
              <w:t>汽车、耐用品、食品、零售、能源、金融服务、旅游、建筑和IT行业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开展</w:t>
            </w:r>
            <w:r w:rsidRPr="00AE5799">
              <w:rPr>
                <w:rFonts w:ascii="宋体" w:hAnsi="宋体" w:cs="宋体" w:hint="eastAsia"/>
                <w:bCs/>
                <w:color w:val="000000"/>
                <w:lang w:eastAsia="zh-CN"/>
              </w:rPr>
              <w:t>业务</w:t>
            </w:r>
            <w:r w:rsidR="003E0DE7"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19131C" w14:paraId="15F19DA5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41966919" w14:textId="77777777" w:rsidR="0019131C" w:rsidRDefault="0019131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424ABF32" w14:textId="6E212CB8" w:rsidR="0019131C" w:rsidRDefault="0019131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2.</w:t>
            </w:r>
            <w:r w:rsidRPr="000725CA">
              <w:rPr>
                <w:rFonts w:ascii="宋体" w:hAnsi="宋体" w:cs="宋体" w:hint="eastAsia"/>
                <w:bCs/>
                <w:color w:val="000000"/>
                <w:lang w:eastAsia="zh-CN"/>
              </w:rPr>
              <w:t>惠而浦</w:t>
            </w:r>
          </w:p>
          <w:p w14:paraId="4895B635" w14:textId="77777777" w:rsidR="0019131C" w:rsidRDefault="0019131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</w:tc>
        <w:tc>
          <w:tcPr>
            <w:tcW w:w="6093" w:type="dxa"/>
            <w:vAlign w:val="center"/>
          </w:tcPr>
          <w:p w14:paraId="783FBAEC" w14:textId="5C714E8F" w:rsidR="0019131C" w:rsidRPr="008653D0" w:rsidRDefault="0019131C" w:rsidP="0067710E">
            <w:pPr>
              <w:adjustRightInd w:val="0"/>
              <w:snapToGrid w:val="0"/>
              <w:spacing w:after="0"/>
              <w:rPr>
                <w:rFonts w:ascii="宋体" w:hAnsi="宋体" w:cs="宋体"/>
              </w:rPr>
            </w:pPr>
            <w:r w:rsidRPr="008653D0">
              <w:rPr>
                <w:rFonts w:ascii="宋体" w:hAnsi="宋体" w:cs="宋体" w:hint="eastAsia"/>
              </w:rPr>
              <w:t>惠而浦于1955年8月10日成立</w:t>
            </w:r>
            <w:r w:rsidRPr="001A1098">
              <w:rPr>
                <w:rFonts w:ascii="宋体" w:hAnsi="宋体" w:cs="宋体" w:hint="eastAsia"/>
                <w:bCs/>
                <w:color w:val="000000"/>
              </w:rPr>
              <w:t>于</w:t>
            </w:r>
            <w:r w:rsidRPr="008653D0">
              <w:rPr>
                <w:rFonts w:ascii="宋体" w:hAnsi="宋体" w:cs="宋体" w:hint="eastAsia"/>
              </w:rPr>
              <w:t>美国特拉华州，</w:t>
            </w:r>
            <w:r>
              <w:rPr>
                <w:rFonts w:ascii="宋体" w:hAnsi="宋体" w:cs="宋体" w:hint="eastAsia"/>
                <w:bCs/>
                <w:color w:val="000000"/>
              </w:rPr>
              <w:t>为</w:t>
            </w:r>
            <w:r w:rsidRPr="008653D0">
              <w:rPr>
                <w:rFonts w:ascii="宋体" w:hAnsi="宋体" w:cs="宋体" w:hint="eastAsia"/>
              </w:rPr>
              <w:t>纽约证券交易所上市</w:t>
            </w:r>
            <w:r>
              <w:rPr>
                <w:rFonts w:ascii="宋体" w:hAnsi="宋体" w:cs="宋体" w:hint="eastAsia"/>
                <w:bCs/>
                <w:color w:val="000000"/>
              </w:rPr>
              <w:t>公司</w:t>
            </w:r>
            <w:r>
              <w:rPr>
                <w:rFonts w:ascii="宋体" w:hAnsi="宋体" w:cs="宋体" w:hint="eastAsia"/>
              </w:rPr>
              <w:t>,</w:t>
            </w:r>
            <w:r w:rsidRPr="008653D0">
              <w:rPr>
                <w:rFonts w:ascii="宋体" w:hAnsi="宋体" w:cs="宋体" w:hint="eastAsia"/>
              </w:rPr>
              <w:t>主要从事</w:t>
            </w:r>
            <w:r>
              <w:rPr>
                <w:rFonts w:ascii="宋体" w:hAnsi="宋体" w:cs="宋体" w:hint="eastAsia"/>
              </w:rPr>
              <w:t>家用电器</w:t>
            </w:r>
            <w:r w:rsidRPr="008653D0">
              <w:rPr>
                <w:rFonts w:ascii="宋体" w:hAnsi="宋体" w:cs="宋体" w:hint="eastAsia"/>
              </w:rPr>
              <w:t>制造</w:t>
            </w:r>
            <w:r w:rsidR="00F91FAC">
              <w:rPr>
                <w:rFonts w:ascii="宋体" w:hAnsi="宋体" w:cs="宋体" w:hint="eastAsia"/>
              </w:rPr>
              <w:t>和销售</w:t>
            </w:r>
            <w:r>
              <w:rPr>
                <w:rFonts w:ascii="宋体" w:hAnsi="宋体" w:cs="宋体" w:hint="eastAsia"/>
              </w:rPr>
              <w:t>，其</w:t>
            </w:r>
            <w:r w:rsidR="007324C1">
              <w:rPr>
                <w:rFonts w:ascii="宋体" w:hAnsi="宋体" w:cs="宋体" w:hint="eastAsia"/>
              </w:rPr>
              <w:t>全球范围内的</w:t>
            </w:r>
            <w:r>
              <w:rPr>
                <w:rFonts w:ascii="宋体" w:hAnsi="宋体" w:cs="宋体" w:hint="eastAsia"/>
              </w:rPr>
              <w:t>产品</w:t>
            </w:r>
            <w:r w:rsidRPr="008653D0">
              <w:rPr>
                <w:rFonts w:ascii="宋体" w:hAnsi="宋体" w:cs="宋体" w:hint="eastAsia"/>
              </w:rPr>
              <w:t>包括洗衣机、微波炉、家用冰箱、</w:t>
            </w:r>
            <w:r>
              <w:rPr>
                <w:rFonts w:ascii="宋体" w:hAnsi="宋体" w:cs="宋体" w:hint="eastAsia"/>
              </w:rPr>
              <w:t>烘干机</w:t>
            </w:r>
            <w:r w:rsidRPr="008653D0">
              <w:rPr>
                <w:rFonts w:ascii="宋体" w:hAnsi="宋体" w:cs="宋体" w:hint="eastAsia"/>
              </w:rPr>
              <w:t>、燃气灶、</w:t>
            </w:r>
            <w:r w:rsidRPr="006E62A3">
              <w:rPr>
                <w:rFonts w:ascii="宋体" w:hAnsi="宋体" w:cs="宋体" w:hint="eastAsia"/>
              </w:rPr>
              <w:t>炉灶</w:t>
            </w:r>
            <w:r w:rsidRPr="008653D0">
              <w:rPr>
                <w:rFonts w:ascii="宋体" w:hAnsi="宋体" w:cs="宋体" w:hint="eastAsia"/>
              </w:rPr>
              <w:t>、洗碗机等。</w:t>
            </w:r>
          </w:p>
          <w:p w14:paraId="3FF2EAD8" w14:textId="77777777" w:rsidR="0019131C" w:rsidRPr="008653D0" w:rsidRDefault="0019131C" w:rsidP="0067710E">
            <w:pPr>
              <w:adjustRightInd w:val="0"/>
              <w:snapToGrid w:val="0"/>
              <w:spacing w:after="0"/>
              <w:rPr>
                <w:rFonts w:ascii="宋体" w:hAnsi="宋体" w:cs="宋体"/>
              </w:rPr>
            </w:pPr>
          </w:p>
          <w:p w14:paraId="5798A4A8" w14:textId="6DA506F1" w:rsidR="0019131C" w:rsidRPr="00A519C7" w:rsidRDefault="0019131C" w:rsidP="0067710E">
            <w:pPr>
              <w:adjustRightInd w:val="0"/>
              <w:snapToGrid w:val="0"/>
              <w:spacing w:after="0"/>
              <w:rPr>
                <w:rFonts w:ascii="宋体" w:hAnsi="宋体" w:cs="宋体"/>
              </w:rPr>
            </w:pPr>
            <w:r w:rsidRPr="008653D0">
              <w:rPr>
                <w:rFonts w:ascii="宋体" w:hAnsi="宋体" w:cs="宋体" w:hint="eastAsia"/>
              </w:rPr>
              <w:t>惠而浦</w:t>
            </w:r>
            <w:r w:rsidRPr="00A519C7">
              <w:rPr>
                <w:rFonts w:ascii="宋体" w:hAnsi="宋体" w:cs="宋体" w:hint="eastAsia"/>
              </w:rPr>
              <w:t>无最终控制人。</w:t>
            </w:r>
          </w:p>
        </w:tc>
      </w:tr>
      <w:tr w:rsidR="00433451" w14:paraId="18B8119C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13989E5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476C16EB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433451" w14:paraId="18B3BE25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8885826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1AA98C6" w14:textId="14190D4F" w:rsidR="00433451" w:rsidRDefault="00D77324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="00433451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433451" w14:paraId="73CE6975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2925F97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46A0F02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:rsidR="00433451" w14:paraId="1A516142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50B0B460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6049EEB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433451" w14:paraId="0210F44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3F0CEA2F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D80D24E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433451" w14:paraId="75382027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F76DCBE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DFF4648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433451" w14:paraId="4A9F4389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05367CDF" w14:textId="77777777" w:rsidR="00433451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7517571" w14:textId="264A777D" w:rsidR="0067710E" w:rsidRDefault="00433451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lang w:eastAsia="zh-CN"/>
              </w:rPr>
              <w:t>横向重叠：</w:t>
            </w:r>
          </w:p>
          <w:p w14:paraId="7E8B33CF" w14:textId="35F96401" w:rsidR="00C75568" w:rsidRDefault="00D77324" w:rsidP="00C75568">
            <w:pPr>
              <w:pStyle w:val="BodyText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2022</w:t>
            </w:r>
            <w:r w:rsidR="00433451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</w:t>
            </w:r>
            <w:r w:rsidR="00433451">
              <w:rPr>
                <w:rFonts w:ascii="宋体" w:hAnsi="宋体" w:cs="宋体" w:hint="eastAsia"/>
                <w:bCs/>
                <w:color w:val="000000"/>
                <w:lang w:eastAsia="zh-CN"/>
              </w:rPr>
              <w:t>中国境内</w:t>
            </w:r>
            <w:r w:rsidR="000A7357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微波炉</w:t>
            </w:r>
            <w:r w:rsidR="00433451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市场</w:t>
            </w:r>
            <w:r w:rsidR="00C75568"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52E95B4E" w14:textId="0A3984EC" w:rsidR="00C75568" w:rsidRDefault="000A7357" w:rsidP="00C75568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阿奇立克</w:t>
            </w:r>
            <w:r w:rsidR="00433451"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：0-5%，</w:t>
            </w: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惠而浦</w:t>
            </w:r>
            <w:r w:rsidR="00C75568"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  <w:r w:rsidR="00433451"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0-5%</w:t>
            </w:r>
          </w:p>
          <w:p w14:paraId="5CBE0383" w14:textId="5A6AEBEA" w:rsidR="00433451" w:rsidRDefault="00433451" w:rsidP="00C75568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各方合计：0-5%</w:t>
            </w:r>
          </w:p>
          <w:p w14:paraId="694ECE51" w14:textId="77777777" w:rsidR="00C75568" w:rsidRDefault="00C75568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  <w:p w14:paraId="6BFA8213" w14:textId="2355A70A" w:rsidR="00C75568" w:rsidRDefault="00C75568" w:rsidP="00C75568">
            <w:pPr>
              <w:pStyle w:val="BodyText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2022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中国境内</w:t>
            </w:r>
            <w:r w:rsidR="007324C1">
              <w:rPr>
                <w:rFonts w:ascii="宋体" w:hAnsi="宋体" w:cs="宋体" w:hint="eastAsia"/>
                <w:bCs/>
                <w:color w:val="000000"/>
                <w:lang w:eastAsia="zh-CN"/>
              </w:rPr>
              <w:t>家用</w:t>
            </w:r>
            <w:r w:rsidR="00A223C4" w:rsidRPr="00A223C4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冰箱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市场</w:t>
            </w: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51DA62EF" w14:textId="17F876EE" w:rsidR="00A223C4" w:rsidRDefault="00A223C4" w:rsidP="00A223C4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lastRenderedPageBreak/>
              <w:t>阿奇立克：0-5%，惠而浦：0-5%</w:t>
            </w:r>
          </w:p>
          <w:p w14:paraId="4212396D" w14:textId="77777777" w:rsidR="00A223C4" w:rsidRDefault="00A223C4" w:rsidP="00A223C4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各方合计：0-5%</w:t>
            </w:r>
          </w:p>
          <w:p w14:paraId="1422BDD1" w14:textId="77777777" w:rsidR="00A223C4" w:rsidRDefault="00A223C4" w:rsidP="00A223C4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  <w:p w14:paraId="5C532A6C" w14:textId="0C1DB265" w:rsidR="00A223C4" w:rsidRDefault="00A223C4" w:rsidP="00A223C4">
            <w:pPr>
              <w:pStyle w:val="BodyText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2022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中国境内</w:t>
            </w:r>
            <w:r w:rsidR="00F959EB" w:rsidRPr="00F959EB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灶具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市场</w:t>
            </w: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2CBD8900" w14:textId="75E2AAEC" w:rsidR="001501EE" w:rsidRDefault="001501EE" w:rsidP="001501EE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阿奇立克：0-5%，惠而浦：0-5%</w:t>
            </w:r>
          </w:p>
          <w:p w14:paraId="7E3D9864" w14:textId="77777777" w:rsidR="001501EE" w:rsidRDefault="001501EE" w:rsidP="001501EE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各方合计：0-5%</w:t>
            </w:r>
          </w:p>
          <w:p w14:paraId="5C1BACB5" w14:textId="77777777" w:rsidR="001501EE" w:rsidRDefault="001501EE" w:rsidP="001501EE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  <w:p w14:paraId="302ADAC6" w14:textId="05ECA90C" w:rsidR="001501EE" w:rsidRDefault="001501EE" w:rsidP="001501EE">
            <w:pPr>
              <w:pStyle w:val="BodyText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2022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中国境内</w:t>
            </w:r>
            <w:r w:rsidR="006E5EF9" w:rsidRPr="006E5EF9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家用洗碗机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市场</w:t>
            </w: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77179F7D" w14:textId="67743BA3" w:rsidR="001501EE" w:rsidRDefault="001501EE" w:rsidP="001501EE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阿奇立克：0-5%，惠而浦：0-5%</w:t>
            </w:r>
          </w:p>
          <w:p w14:paraId="604E7C23" w14:textId="77777777" w:rsidR="001501EE" w:rsidRDefault="001501EE" w:rsidP="001501EE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各方合计：0-5%</w:t>
            </w:r>
          </w:p>
          <w:p w14:paraId="380AA53D" w14:textId="77777777" w:rsidR="00C75568" w:rsidRDefault="00C75568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  <w:p w14:paraId="710DB64A" w14:textId="6E127241" w:rsidR="001501EE" w:rsidRDefault="001501EE" w:rsidP="001501EE">
            <w:pPr>
              <w:pStyle w:val="BodyText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2022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中国境内</w:t>
            </w:r>
            <w:r w:rsidR="008A5F2B" w:rsidRPr="008A5F2B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烘干机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市场</w:t>
            </w: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36173922" w14:textId="129B3EBB" w:rsidR="001501EE" w:rsidRDefault="001501EE" w:rsidP="001501EE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C7556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阿奇立克：0-5%，惠而浦：0-5%</w:t>
            </w:r>
          </w:p>
          <w:p w14:paraId="07726527" w14:textId="051BF0B8" w:rsidR="00433451" w:rsidRPr="001501EE" w:rsidRDefault="001501EE" w:rsidP="001501EE">
            <w:pPr>
              <w:pStyle w:val="BodyText"/>
              <w:adjustRightInd w:val="0"/>
              <w:snapToGrid w:val="0"/>
              <w:spacing w:after="0"/>
              <w:ind w:left="72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各方合计：0-5%</w:t>
            </w:r>
          </w:p>
        </w:tc>
      </w:tr>
    </w:tbl>
    <w:p w14:paraId="7F93EFDB" w14:textId="0997D89F" w:rsidR="00433451" w:rsidRDefault="00433451" w:rsidP="00F959EB">
      <w:pPr>
        <w:pStyle w:val="BodyText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sectPr w:rsidR="00433451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8825" w14:textId="77777777" w:rsidR="00EF27F0" w:rsidRDefault="00EF27F0">
      <w:pPr>
        <w:spacing w:after="0"/>
      </w:pPr>
      <w:r>
        <w:separator/>
      </w:r>
    </w:p>
  </w:endnote>
  <w:endnote w:type="continuationSeparator" w:id="0">
    <w:p w14:paraId="6C0B0D95" w14:textId="77777777" w:rsidR="00EF27F0" w:rsidRDefault="00EF27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433451" w14:paraId="67A3DE23" w14:textId="77777777">
      <w:tc>
        <w:tcPr>
          <w:tcW w:w="3080" w:type="dxa"/>
        </w:tcPr>
        <w:p w14:paraId="7B130B52" w14:textId="77777777" w:rsidR="00433451" w:rsidRDefault="00433451">
          <w:pPr>
            <w:pStyle w:val="Footer"/>
          </w:pPr>
        </w:p>
      </w:tc>
      <w:tc>
        <w:tcPr>
          <w:tcW w:w="3081" w:type="dxa"/>
        </w:tcPr>
        <w:p w14:paraId="24A63E0E" w14:textId="77777777" w:rsidR="00433451" w:rsidRDefault="00433451">
          <w:pPr>
            <w:pStyle w:val="Footer"/>
            <w:jc w:val="center"/>
            <w:rPr>
              <w:rStyle w:val="PageNumber"/>
              <w:rFonts w:cs="Times New Roman"/>
            </w:rPr>
          </w:pPr>
          <w:r>
            <w:rPr>
              <w:rStyle w:val="PageNumber"/>
              <w:rFonts w:cs="Times New Roman"/>
            </w:rPr>
            <w:t xml:space="preserve">- </w:t>
          </w:r>
          <w:r>
            <w:rPr>
              <w:rStyle w:val="PageNumber"/>
              <w:rFonts w:cs="Times New Roman"/>
            </w:rPr>
            <w:fldChar w:fldCharType="begin"/>
          </w:r>
          <w:r>
            <w:rPr>
              <w:rStyle w:val="PageNumber"/>
              <w:rFonts w:cs="Times New Roman"/>
            </w:rPr>
            <w:instrText xml:space="preserve"> PAGE   \* MERGEFORMAT </w:instrText>
          </w:r>
          <w:r>
            <w:rPr>
              <w:rStyle w:val="PageNumber"/>
              <w:rFonts w:cs="Times New Roman"/>
            </w:rPr>
            <w:fldChar w:fldCharType="separate"/>
          </w:r>
          <w:r>
            <w:rPr>
              <w:rStyle w:val="PageNumber"/>
              <w:rFonts w:cs="Times New Roman"/>
            </w:rPr>
            <w:t>2</w:t>
          </w:r>
          <w:r>
            <w:rPr>
              <w:rStyle w:val="PageNumber"/>
              <w:rFonts w:cs="Times New Roman"/>
            </w:rPr>
            <w:fldChar w:fldCharType="end"/>
          </w:r>
          <w:r>
            <w:rPr>
              <w:rStyle w:val="PageNumber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18A75CE8" w14:textId="77777777" w:rsidR="00433451" w:rsidRDefault="00433451">
          <w:pPr>
            <w:pStyle w:val="FooterRight"/>
          </w:pPr>
        </w:p>
      </w:tc>
    </w:tr>
  </w:tbl>
  <w:p w14:paraId="148DC4DA" w14:textId="77777777" w:rsidR="00433451" w:rsidRDefault="00433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2089" w14:textId="77777777" w:rsidR="00EF27F0" w:rsidRDefault="00EF27F0">
      <w:pPr>
        <w:spacing w:after="0"/>
      </w:pPr>
      <w:r>
        <w:separator/>
      </w:r>
    </w:p>
  </w:footnote>
  <w:footnote w:type="continuationSeparator" w:id="0">
    <w:p w14:paraId="69DFF810" w14:textId="77777777" w:rsidR="00EF27F0" w:rsidRDefault="00EF27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CAD"/>
    <w:multiLevelType w:val="multilevel"/>
    <w:tmpl w:val="25195CAD"/>
    <w:name w:val="Bullet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name w:val="Normal + Left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367718"/>
    <w:multiLevelType w:val="hybridMultilevel"/>
    <w:tmpl w:val="34C4A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0377"/>
    <w:multiLevelType w:val="multilevel"/>
    <w:tmpl w:val="6B4F0377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721976895">
    <w:abstractNumId w:val="3"/>
  </w:num>
  <w:num w:numId="2" w16cid:durableId="1630672910">
    <w:abstractNumId w:val="0"/>
  </w:num>
  <w:num w:numId="3" w16cid:durableId="402877447">
    <w:abstractNumId w:val="1"/>
  </w:num>
  <w:num w:numId="4" w16cid:durableId="200265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326C8"/>
    <w:rsid w:val="00041C40"/>
    <w:rsid w:val="0004292A"/>
    <w:rsid w:val="000467AA"/>
    <w:rsid w:val="00062616"/>
    <w:rsid w:val="000640A8"/>
    <w:rsid w:val="000725CA"/>
    <w:rsid w:val="00073E6B"/>
    <w:rsid w:val="00075481"/>
    <w:rsid w:val="0007723F"/>
    <w:rsid w:val="00077D60"/>
    <w:rsid w:val="00083590"/>
    <w:rsid w:val="00092F4E"/>
    <w:rsid w:val="000A1046"/>
    <w:rsid w:val="000A7357"/>
    <w:rsid w:val="000B58E5"/>
    <w:rsid w:val="000B653C"/>
    <w:rsid w:val="000C6953"/>
    <w:rsid w:val="000E29A9"/>
    <w:rsid w:val="000E3A81"/>
    <w:rsid w:val="0010351D"/>
    <w:rsid w:val="00107E19"/>
    <w:rsid w:val="00115F62"/>
    <w:rsid w:val="00123E26"/>
    <w:rsid w:val="00145B05"/>
    <w:rsid w:val="001501EE"/>
    <w:rsid w:val="001639D8"/>
    <w:rsid w:val="00186A05"/>
    <w:rsid w:val="0019131C"/>
    <w:rsid w:val="001965E2"/>
    <w:rsid w:val="001A1098"/>
    <w:rsid w:val="001A121E"/>
    <w:rsid w:val="001A3FDC"/>
    <w:rsid w:val="001B4EA1"/>
    <w:rsid w:val="001C5840"/>
    <w:rsid w:val="001D1555"/>
    <w:rsid w:val="001D58AE"/>
    <w:rsid w:val="001D6168"/>
    <w:rsid w:val="001E0F1F"/>
    <w:rsid w:val="001E5BC1"/>
    <w:rsid w:val="001F346E"/>
    <w:rsid w:val="001F35AA"/>
    <w:rsid w:val="001F367B"/>
    <w:rsid w:val="00224A7C"/>
    <w:rsid w:val="002278D1"/>
    <w:rsid w:val="00231665"/>
    <w:rsid w:val="00233737"/>
    <w:rsid w:val="002403B5"/>
    <w:rsid w:val="00245281"/>
    <w:rsid w:val="00250E61"/>
    <w:rsid w:val="002515F9"/>
    <w:rsid w:val="00261F94"/>
    <w:rsid w:val="00267941"/>
    <w:rsid w:val="00287E91"/>
    <w:rsid w:val="00291652"/>
    <w:rsid w:val="002964A1"/>
    <w:rsid w:val="002A25F2"/>
    <w:rsid w:val="002A7C26"/>
    <w:rsid w:val="002D6461"/>
    <w:rsid w:val="002F09A7"/>
    <w:rsid w:val="002F5271"/>
    <w:rsid w:val="002F6311"/>
    <w:rsid w:val="00306B88"/>
    <w:rsid w:val="00310488"/>
    <w:rsid w:val="00311263"/>
    <w:rsid w:val="00314104"/>
    <w:rsid w:val="00317C9F"/>
    <w:rsid w:val="0034107F"/>
    <w:rsid w:val="00344D27"/>
    <w:rsid w:val="00353485"/>
    <w:rsid w:val="0035604C"/>
    <w:rsid w:val="00371332"/>
    <w:rsid w:val="003850D4"/>
    <w:rsid w:val="00385F00"/>
    <w:rsid w:val="003866EF"/>
    <w:rsid w:val="003A4565"/>
    <w:rsid w:val="003A75BF"/>
    <w:rsid w:val="003B2280"/>
    <w:rsid w:val="003B27EC"/>
    <w:rsid w:val="003B2F86"/>
    <w:rsid w:val="003B4439"/>
    <w:rsid w:val="003B4C9E"/>
    <w:rsid w:val="003B7CBC"/>
    <w:rsid w:val="003C3456"/>
    <w:rsid w:val="003E0DE7"/>
    <w:rsid w:val="003E3B57"/>
    <w:rsid w:val="003E73DB"/>
    <w:rsid w:val="003F57F2"/>
    <w:rsid w:val="00410914"/>
    <w:rsid w:val="004119F5"/>
    <w:rsid w:val="004166B2"/>
    <w:rsid w:val="004203EF"/>
    <w:rsid w:val="00427E52"/>
    <w:rsid w:val="00433451"/>
    <w:rsid w:val="00446353"/>
    <w:rsid w:val="0044739B"/>
    <w:rsid w:val="00452773"/>
    <w:rsid w:val="00467A6B"/>
    <w:rsid w:val="004768DF"/>
    <w:rsid w:val="0049529E"/>
    <w:rsid w:val="0049707A"/>
    <w:rsid w:val="004973DB"/>
    <w:rsid w:val="0049771A"/>
    <w:rsid w:val="004A4BF1"/>
    <w:rsid w:val="004B6839"/>
    <w:rsid w:val="004C31CC"/>
    <w:rsid w:val="004C3420"/>
    <w:rsid w:val="004D018B"/>
    <w:rsid w:val="004D124C"/>
    <w:rsid w:val="004D4435"/>
    <w:rsid w:val="004E4497"/>
    <w:rsid w:val="00512A53"/>
    <w:rsid w:val="00523905"/>
    <w:rsid w:val="005251B9"/>
    <w:rsid w:val="00530BB4"/>
    <w:rsid w:val="00545A47"/>
    <w:rsid w:val="0057200D"/>
    <w:rsid w:val="005919B8"/>
    <w:rsid w:val="00591CEC"/>
    <w:rsid w:val="00596A7B"/>
    <w:rsid w:val="005B0CEB"/>
    <w:rsid w:val="005B18A3"/>
    <w:rsid w:val="005D277C"/>
    <w:rsid w:val="005D4917"/>
    <w:rsid w:val="005D690C"/>
    <w:rsid w:val="005D6D17"/>
    <w:rsid w:val="005E1BEE"/>
    <w:rsid w:val="005E7B2F"/>
    <w:rsid w:val="005F5280"/>
    <w:rsid w:val="005F7223"/>
    <w:rsid w:val="0060413B"/>
    <w:rsid w:val="00604CDD"/>
    <w:rsid w:val="00605EE6"/>
    <w:rsid w:val="0060669E"/>
    <w:rsid w:val="00614EBB"/>
    <w:rsid w:val="0061583E"/>
    <w:rsid w:val="00617BCA"/>
    <w:rsid w:val="00632159"/>
    <w:rsid w:val="0064553E"/>
    <w:rsid w:val="00645B6A"/>
    <w:rsid w:val="00654F07"/>
    <w:rsid w:val="00655225"/>
    <w:rsid w:val="00664174"/>
    <w:rsid w:val="006643EA"/>
    <w:rsid w:val="0067348D"/>
    <w:rsid w:val="006745A9"/>
    <w:rsid w:val="0067710E"/>
    <w:rsid w:val="00682729"/>
    <w:rsid w:val="00686399"/>
    <w:rsid w:val="00696A2F"/>
    <w:rsid w:val="006A0F07"/>
    <w:rsid w:val="006B4541"/>
    <w:rsid w:val="006D1E2B"/>
    <w:rsid w:val="006E0D98"/>
    <w:rsid w:val="006E3180"/>
    <w:rsid w:val="006E5EF9"/>
    <w:rsid w:val="006E62A3"/>
    <w:rsid w:val="006E6E26"/>
    <w:rsid w:val="006E70AA"/>
    <w:rsid w:val="006F7A98"/>
    <w:rsid w:val="007029CB"/>
    <w:rsid w:val="00705778"/>
    <w:rsid w:val="0071373B"/>
    <w:rsid w:val="00720F7B"/>
    <w:rsid w:val="00726B19"/>
    <w:rsid w:val="00727BD0"/>
    <w:rsid w:val="007324C1"/>
    <w:rsid w:val="00736390"/>
    <w:rsid w:val="007366F5"/>
    <w:rsid w:val="007373F0"/>
    <w:rsid w:val="00742AFE"/>
    <w:rsid w:val="00742EDF"/>
    <w:rsid w:val="007472B8"/>
    <w:rsid w:val="00750119"/>
    <w:rsid w:val="00751420"/>
    <w:rsid w:val="0075362F"/>
    <w:rsid w:val="007552F5"/>
    <w:rsid w:val="007674D7"/>
    <w:rsid w:val="00772298"/>
    <w:rsid w:val="00794062"/>
    <w:rsid w:val="00797584"/>
    <w:rsid w:val="007A2D94"/>
    <w:rsid w:val="007B4353"/>
    <w:rsid w:val="007B651A"/>
    <w:rsid w:val="007B6ED8"/>
    <w:rsid w:val="007B75E4"/>
    <w:rsid w:val="007E2608"/>
    <w:rsid w:val="007E3DC4"/>
    <w:rsid w:val="007F1726"/>
    <w:rsid w:val="007F33D4"/>
    <w:rsid w:val="007F371A"/>
    <w:rsid w:val="0080200E"/>
    <w:rsid w:val="00803A33"/>
    <w:rsid w:val="008051ED"/>
    <w:rsid w:val="00811775"/>
    <w:rsid w:val="008248B2"/>
    <w:rsid w:val="00834D88"/>
    <w:rsid w:val="00847B6C"/>
    <w:rsid w:val="0086180E"/>
    <w:rsid w:val="00864085"/>
    <w:rsid w:val="008653D0"/>
    <w:rsid w:val="00867465"/>
    <w:rsid w:val="008803D0"/>
    <w:rsid w:val="00880F24"/>
    <w:rsid w:val="008836AF"/>
    <w:rsid w:val="00885C9B"/>
    <w:rsid w:val="00893879"/>
    <w:rsid w:val="008A5F2B"/>
    <w:rsid w:val="008B2172"/>
    <w:rsid w:val="008C1770"/>
    <w:rsid w:val="008D4ED8"/>
    <w:rsid w:val="008D644E"/>
    <w:rsid w:val="008E5BCA"/>
    <w:rsid w:val="009022B0"/>
    <w:rsid w:val="00905F4A"/>
    <w:rsid w:val="0091312F"/>
    <w:rsid w:val="0091338E"/>
    <w:rsid w:val="009145E4"/>
    <w:rsid w:val="00914903"/>
    <w:rsid w:val="009172AC"/>
    <w:rsid w:val="009301D9"/>
    <w:rsid w:val="00936FB8"/>
    <w:rsid w:val="00937496"/>
    <w:rsid w:val="0094346F"/>
    <w:rsid w:val="00953187"/>
    <w:rsid w:val="009551E9"/>
    <w:rsid w:val="009553D4"/>
    <w:rsid w:val="00955A27"/>
    <w:rsid w:val="009617CE"/>
    <w:rsid w:val="0096333E"/>
    <w:rsid w:val="009668EC"/>
    <w:rsid w:val="00977C3B"/>
    <w:rsid w:val="00982D3D"/>
    <w:rsid w:val="009845F7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F0698"/>
    <w:rsid w:val="00A05705"/>
    <w:rsid w:val="00A16F03"/>
    <w:rsid w:val="00A21136"/>
    <w:rsid w:val="00A223C4"/>
    <w:rsid w:val="00A26DE5"/>
    <w:rsid w:val="00A31188"/>
    <w:rsid w:val="00A3323A"/>
    <w:rsid w:val="00A36DB5"/>
    <w:rsid w:val="00A46C66"/>
    <w:rsid w:val="00A46FAF"/>
    <w:rsid w:val="00A519C7"/>
    <w:rsid w:val="00A5674A"/>
    <w:rsid w:val="00A623EF"/>
    <w:rsid w:val="00A641AD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C3273"/>
    <w:rsid w:val="00AC68C4"/>
    <w:rsid w:val="00AD310D"/>
    <w:rsid w:val="00AD3D4D"/>
    <w:rsid w:val="00AE301C"/>
    <w:rsid w:val="00AE4069"/>
    <w:rsid w:val="00AE5799"/>
    <w:rsid w:val="00AE7916"/>
    <w:rsid w:val="00AF09EA"/>
    <w:rsid w:val="00AF1D6D"/>
    <w:rsid w:val="00AF5632"/>
    <w:rsid w:val="00AF6F8A"/>
    <w:rsid w:val="00B04913"/>
    <w:rsid w:val="00B2169A"/>
    <w:rsid w:val="00B31D4D"/>
    <w:rsid w:val="00B33267"/>
    <w:rsid w:val="00B3616B"/>
    <w:rsid w:val="00B37633"/>
    <w:rsid w:val="00B50A28"/>
    <w:rsid w:val="00B518C9"/>
    <w:rsid w:val="00B52EAC"/>
    <w:rsid w:val="00B54969"/>
    <w:rsid w:val="00B80B9E"/>
    <w:rsid w:val="00B838DA"/>
    <w:rsid w:val="00B84E14"/>
    <w:rsid w:val="00B85B36"/>
    <w:rsid w:val="00B86E3A"/>
    <w:rsid w:val="00B87346"/>
    <w:rsid w:val="00BA017F"/>
    <w:rsid w:val="00BD535F"/>
    <w:rsid w:val="00BE6E64"/>
    <w:rsid w:val="00BF31B7"/>
    <w:rsid w:val="00BF4F99"/>
    <w:rsid w:val="00C10048"/>
    <w:rsid w:val="00C30E9B"/>
    <w:rsid w:val="00C424FC"/>
    <w:rsid w:val="00C47906"/>
    <w:rsid w:val="00C51ECC"/>
    <w:rsid w:val="00C57A28"/>
    <w:rsid w:val="00C600D9"/>
    <w:rsid w:val="00C64D79"/>
    <w:rsid w:val="00C67ADA"/>
    <w:rsid w:val="00C75568"/>
    <w:rsid w:val="00C810E8"/>
    <w:rsid w:val="00C847C2"/>
    <w:rsid w:val="00CA6613"/>
    <w:rsid w:val="00CC69AD"/>
    <w:rsid w:val="00CF1664"/>
    <w:rsid w:val="00CF5A8A"/>
    <w:rsid w:val="00D01278"/>
    <w:rsid w:val="00D11364"/>
    <w:rsid w:val="00D12AB1"/>
    <w:rsid w:val="00D23B36"/>
    <w:rsid w:val="00D27AEB"/>
    <w:rsid w:val="00D53BAE"/>
    <w:rsid w:val="00D57DBA"/>
    <w:rsid w:val="00D57EBC"/>
    <w:rsid w:val="00D71F76"/>
    <w:rsid w:val="00D72E5D"/>
    <w:rsid w:val="00D77095"/>
    <w:rsid w:val="00D77324"/>
    <w:rsid w:val="00D80573"/>
    <w:rsid w:val="00D913E9"/>
    <w:rsid w:val="00D94388"/>
    <w:rsid w:val="00D94BB1"/>
    <w:rsid w:val="00D961C9"/>
    <w:rsid w:val="00D97B80"/>
    <w:rsid w:val="00DA1D73"/>
    <w:rsid w:val="00DA32D0"/>
    <w:rsid w:val="00DA5D6B"/>
    <w:rsid w:val="00DB2761"/>
    <w:rsid w:val="00DB2FF6"/>
    <w:rsid w:val="00DD0E0C"/>
    <w:rsid w:val="00DD7765"/>
    <w:rsid w:val="00DE0640"/>
    <w:rsid w:val="00DE522D"/>
    <w:rsid w:val="00DF5C28"/>
    <w:rsid w:val="00E04A75"/>
    <w:rsid w:val="00E23955"/>
    <w:rsid w:val="00E316A1"/>
    <w:rsid w:val="00E417DF"/>
    <w:rsid w:val="00E47327"/>
    <w:rsid w:val="00E73207"/>
    <w:rsid w:val="00E7385D"/>
    <w:rsid w:val="00E73936"/>
    <w:rsid w:val="00E86579"/>
    <w:rsid w:val="00E90A19"/>
    <w:rsid w:val="00E974F8"/>
    <w:rsid w:val="00EA79DA"/>
    <w:rsid w:val="00EC636E"/>
    <w:rsid w:val="00EC7E55"/>
    <w:rsid w:val="00ED6F93"/>
    <w:rsid w:val="00EE2667"/>
    <w:rsid w:val="00EE6A3B"/>
    <w:rsid w:val="00EE7CB8"/>
    <w:rsid w:val="00EF16FB"/>
    <w:rsid w:val="00EF27F0"/>
    <w:rsid w:val="00EF2E0C"/>
    <w:rsid w:val="00F02216"/>
    <w:rsid w:val="00F0291C"/>
    <w:rsid w:val="00F101DD"/>
    <w:rsid w:val="00F14193"/>
    <w:rsid w:val="00F14D59"/>
    <w:rsid w:val="00F20CCE"/>
    <w:rsid w:val="00F3614E"/>
    <w:rsid w:val="00F56870"/>
    <w:rsid w:val="00F576E0"/>
    <w:rsid w:val="00F6440C"/>
    <w:rsid w:val="00F901CF"/>
    <w:rsid w:val="00F906EF"/>
    <w:rsid w:val="00F91FAC"/>
    <w:rsid w:val="00F959B3"/>
    <w:rsid w:val="00F959EB"/>
    <w:rsid w:val="00FB33FD"/>
    <w:rsid w:val="00FB645E"/>
    <w:rsid w:val="00FC35ED"/>
    <w:rsid w:val="00FD395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ADA1"/>
  <w15:chartTrackingRefBased/>
  <w15:docId w15:val="{2DA93048-7BF6-4177-9780-AFA9294F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Revision">
    <w:name w:val="Revision"/>
    <w:hidden/>
    <w:uiPriority w:val="99"/>
    <w:unhideWhenUsed/>
    <w:rsid w:val="00B33267"/>
    <w:rPr>
      <w:sz w:val="24"/>
      <w:szCs w:val="24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DaHui Lawyers</cp:lastModifiedBy>
  <cp:revision>2</cp:revision>
  <dcterms:created xsi:type="dcterms:W3CDTF">2023-09-07T07:00:00Z</dcterms:created>
  <dcterms:modified xsi:type="dcterms:W3CDTF">2023-09-07T07:11:00Z</dcterms:modified>
</cp:coreProperties>
</file>