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5689" w14:textId="77777777" w:rsidR="00763919" w:rsidRPr="00B961D9" w:rsidRDefault="00763919" w:rsidP="00763919">
      <w:pPr>
        <w:widowControl w:val="0"/>
        <w:jc w:val="center"/>
        <w:rPr>
          <w:rFonts w:ascii="黑体" w:eastAsia="黑体" w:hAnsi="黑体" w:cs="黑体"/>
          <w:bCs/>
          <w:kern w:val="2"/>
          <w:sz w:val="36"/>
          <w:szCs w:val="36"/>
          <w:lang w:val="en-US"/>
        </w:rPr>
      </w:pPr>
      <w:bookmarkStart w:id="0" w:name="_Hlk148948214"/>
      <w:r>
        <w:rPr>
          <w:rFonts w:ascii="黑体" w:eastAsia="黑体" w:hAnsi="黑体" w:cs="黑体" w:hint="eastAsia"/>
          <w:bCs/>
          <w:kern w:val="2"/>
          <w:sz w:val="36"/>
          <w:szCs w:val="36"/>
          <w:lang w:val="en-US"/>
        </w:rPr>
        <w:t>经营者集中简易案件公示表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714"/>
        <w:gridCol w:w="1799"/>
        <w:gridCol w:w="4783"/>
      </w:tblGrid>
      <w:tr w:rsidR="00763919" w:rsidRPr="001F24D1" w14:paraId="2BA0159B" w14:textId="77777777" w:rsidTr="00332DB4">
        <w:trPr>
          <w:trHeight w:val="458"/>
        </w:trPr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FC7B1" w14:textId="77777777" w:rsidR="00763919" w:rsidRPr="001F24D1" w:rsidRDefault="00763919" w:rsidP="001D65AF">
            <w:pPr>
              <w:widowControl w:val="0"/>
              <w:adjustRightInd w:val="0"/>
              <w:snapToGrid w:val="0"/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案件名称</w:t>
            </w:r>
          </w:p>
        </w:tc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CD04D" w14:textId="7A136243" w:rsidR="00763919" w:rsidRPr="001F24D1" w:rsidRDefault="00763919" w:rsidP="001D65AF">
            <w:pPr>
              <w:tabs>
                <w:tab w:val="left" w:pos="720"/>
              </w:tabs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住友商事株式会社收购矿石与金属新加坡合营私人有限公司股权案</w:t>
            </w:r>
          </w:p>
        </w:tc>
      </w:tr>
      <w:tr w:rsidR="00763919" w:rsidRPr="001F24D1" w14:paraId="2AA8CA1D" w14:textId="77777777" w:rsidTr="00332DB4">
        <w:trPr>
          <w:trHeight w:val="359"/>
        </w:trPr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9A9E9" w14:textId="77777777" w:rsidR="00763919" w:rsidRPr="001F24D1" w:rsidRDefault="00763919" w:rsidP="001F24D1">
            <w:pPr>
              <w:widowControl w:val="0"/>
              <w:adjustRightInd w:val="0"/>
              <w:snapToGrid w:val="0"/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交易概况（限200字内）</w:t>
            </w:r>
          </w:p>
        </w:tc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817E0" w14:textId="0EDEDAA3" w:rsidR="00763919" w:rsidRPr="001F24D1" w:rsidRDefault="00763919" w:rsidP="001F24D1">
            <w:pPr>
              <w:adjustRightInd w:val="0"/>
              <w:snapToGrid w:val="0"/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住友商事株式会社（“住友商事”）与矿石与金属亚洲私人有限公司（Ore &amp; Metal Asia Pte. Limited，“OMA”）、矿石与金属新加坡合营私人有限公司(Ore &amp; Metal Singapore JV Pte. Ltd.,“目标公司”）签署协议，住友商事收购目标公司共计40%的股份。目标公司从事铁矿石、锰矿石和锰铁合金营销业务。交易前，OMA持有目标公司100%的股份，单独控制目标公司。交易后，OMA与住友商事将分别持有目标公司60%及40%的股份,并共同控制目标公司。</w:t>
            </w:r>
          </w:p>
        </w:tc>
      </w:tr>
      <w:tr w:rsidR="00763919" w:rsidRPr="001F24D1" w14:paraId="38F4486D" w14:textId="77777777" w:rsidTr="00332DB4">
        <w:trPr>
          <w:trHeight w:val="468"/>
        </w:trPr>
        <w:tc>
          <w:tcPr>
            <w:tcW w:w="10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E7701" w14:textId="77777777" w:rsidR="00763919" w:rsidRPr="001F24D1" w:rsidRDefault="00763919" w:rsidP="001F24D1">
            <w:pPr>
              <w:widowControl w:val="0"/>
              <w:adjustRightInd w:val="0"/>
              <w:snapToGrid w:val="0"/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参与集中的经营者简介（每个限100字以内）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B3E" w14:textId="77777777" w:rsidR="00763919" w:rsidRPr="001F24D1" w:rsidRDefault="00763919" w:rsidP="001F24D1">
            <w:pPr>
              <w:pStyle w:val="ListParagraph"/>
              <w:widowControl w:val="0"/>
              <w:numPr>
                <w:ilvl w:val="0"/>
                <w:numId w:val="30"/>
              </w:numPr>
              <w:adjustRightInd w:val="0"/>
              <w:snapToGrid w:val="0"/>
              <w:ind w:firstLineChars="0"/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住友商事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FC71D" w14:textId="77777777" w:rsidR="00763919" w:rsidRPr="001F24D1" w:rsidRDefault="00763919" w:rsidP="001F24D1">
            <w:pPr>
              <w:adjustRightInd w:val="0"/>
              <w:snapToGrid w:val="0"/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住友商事于1919年12月24日成立于日本，为东京证券交易所上市公司，主要业务为金属制品、矿产资源和能源产品贸易等。</w:t>
            </w:r>
          </w:p>
          <w:p w14:paraId="423651FE" w14:textId="77777777" w:rsidR="00763919" w:rsidRPr="001F24D1" w:rsidRDefault="00763919" w:rsidP="001F24D1">
            <w:pPr>
              <w:tabs>
                <w:tab w:val="left" w:pos="720"/>
              </w:tabs>
              <w:adjustRightInd w:val="0"/>
              <w:snapToGrid w:val="0"/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住友商事</w:t>
            </w:r>
            <w:proofErr w:type="gramStart"/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无最终</w:t>
            </w:r>
            <w:proofErr w:type="gramEnd"/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控制人。</w:t>
            </w:r>
          </w:p>
        </w:tc>
      </w:tr>
      <w:tr w:rsidR="00763919" w:rsidRPr="001F24D1" w14:paraId="2BF4AD44" w14:textId="77777777" w:rsidTr="00332DB4">
        <w:trPr>
          <w:trHeight w:val="468"/>
        </w:trPr>
        <w:tc>
          <w:tcPr>
            <w:tcW w:w="1033" w:type="pct"/>
            <w:vMerge/>
            <w:vAlign w:val="center"/>
          </w:tcPr>
          <w:p w14:paraId="0E8B5E8F" w14:textId="77777777" w:rsidR="00763919" w:rsidRPr="001F24D1" w:rsidRDefault="00763919" w:rsidP="001F24D1">
            <w:pPr>
              <w:widowControl w:val="0"/>
              <w:adjustRightInd w:val="0"/>
              <w:snapToGrid w:val="0"/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4914" w14:textId="77777777" w:rsidR="00763919" w:rsidRPr="001F24D1" w:rsidRDefault="00763919" w:rsidP="001F24D1">
            <w:pPr>
              <w:pStyle w:val="ListParagraph"/>
              <w:widowControl w:val="0"/>
              <w:numPr>
                <w:ilvl w:val="0"/>
                <w:numId w:val="30"/>
              </w:numPr>
              <w:adjustRightInd w:val="0"/>
              <w:snapToGrid w:val="0"/>
              <w:ind w:firstLineChars="0"/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1F24D1"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  <w:t>OMA</w:t>
            </w:r>
          </w:p>
        </w:tc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B2F6C" w14:textId="77777777" w:rsidR="00763919" w:rsidRPr="001F24D1" w:rsidRDefault="00763919" w:rsidP="001F24D1">
            <w:pPr>
              <w:widowControl w:val="0"/>
              <w:adjustRightInd w:val="0"/>
              <w:snapToGrid w:val="0"/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OMA于2019年7月26日成立于新加坡，主要业务为矿石、矿物和金属的营销。</w:t>
            </w:r>
          </w:p>
          <w:p w14:paraId="05D7340E" w14:textId="77777777" w:rsidR="00763919" w:rsidRPr="001F24D1" w:rsidRDefault="00763919" w:rsidP="001F24D1">
            <w:pPr>
              <w:widowControl w:val="0"/>
              <w:adjustRightInd w:val="0"/>
              <w:snapToGrid w:val="0"/>
              <w:jc w:val="both"/>
              <w:rPr>
                <w:rFonts w:ascii="宋体" w:hAnsi="宋体" w:cs="宋体"/>
                <w:bCs/>
                <w:color w:val="000000"/>
                <w:kern w:val="2"/>
                <w:sz w:val="24"/>
                <w:szCs w:val="24"/>
                <w:lang w:val="en-US"/>
              </w:rPr>
            </w:pPr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OMA的最终控制人为</w:t>
            </w:r>
            <w:proofErr w:type="gramStart"/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萨</w:t>
            </w:r>
            <w:proofErr w:type="gramEnd"/>
            <w:r w:rsidRPr="001F24D1">
              <w:rPr>
                <w:rFonts w:ascii="宋体" w:hAnsi="宋体" w:cs="宋体" w:hint="eastAsia"/>
                <w:bCs/>
                <w:color w:val="000000"/>
                <w:kern w:val="2"/>
                <w:sz w:val="24"/>
                <w:szCs w:val="24"/>
                <w:lang w:val="en-US"/>
              </w:rPr>
              <w:t>科（Sacco）家族。主要业务为矿石、矿物和金属的开采、加工和营销。</w:t>
            </w:r>
          </w:p>
        </w:tc>
      </w:tr>
      <w:tr w:rsidR="00763919" w:rsidRPr="001F24D1" w14:paraId="1177657E" w14:textId="77777777" w:rsidTr="00332DB4">
        <w:trPr>
          <w:trHeight w:val="279"/>
        </w:trPr>
        <w:tc>
          <w:tcPr>
            <w:tcW w:w="103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7DBAC" w14:textId="77777777" w:rsidR="00763919" w:rsidRPr="00C057DE" w:rsidRDefault="00763919" w:rsidP="001D65AF">
            <w:pPr>
              <w:widowControl w:val="0"/>
              <w:jc w:val="both"/>
              <w:rPr>
                <w:rFonts w:ascii="宋体" w:hAnsi="宋体" w:cstheme="majorHAnsi"/>
                <w:bCs/>
                <w:color w:val="000000" w:themeColor="text1"/>
                <w:kern w:val="2"/>
                <w:sz w:val="24"/>
                <w:szCs w:val="24"/>
              </w:rPr>
            </w:pPr>
            <w:r w:rsidRPr="00C057DE">
              <w:rPr>
                <w:rFonts w:ascii="宋体" w:hAnsi="宋体" w:cstheme="majorHAnsi" w:hint="eastAsia"/>
                <w:bCs/>
                <w:color w:val="000000" w:themeColor="text1"/>
                <w:kern w:val="2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34AC0" w14:textId="21DC4058" w:rsidR="00763919" w:rsidRPr="001F24D1" w:rsidRDefault="001D65AF" w:rsidP="001D65AF">
            <w:pPr>
              <w:widowControl w:val="0"/>
              <w:jc w:val="both"/>
              <w:rPr>
                <w:rFonts w:ascii="宋体" w:hAnsi="宋体" w:cstheme="majorHAnsi"/>
                <w:color w:val="000000" w:themeColor="text1"/>
                <w:kern w:val="2"/>
                <w:sz w:val="24"/>
                <w:szCs w:val="24"/>
              </w:rPr>
            </w:pPr>
            <w:r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FE"/>
            </w:r>
            <w:r w:rsidR="00763919"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1、在同一相关市场，所有参与集中的经营者所占市场份额之和小于15%。</w:t>
            </w:r>
          </w:p>
        </w:tc>
      </w:tr>
      <w:tr w:rsidR="00763919" w:rsidRPr="001F24D1" w14:paraId="196C3F84" w14:textId="77777777" w:rsidTr="00332DB4">
        <w:trPr>
          <w:trHeight w:val="330"/>
        </w:trPr>
        <w:tc>
          <w:tcPr>
            <w:tcW w:w="1033" w:type="pct"/>
            <w:vMerge/>
            <w:vAlign w:val="center"/>
          </w:tcPr>
          <w:p w14:paraId="2C7D6007" w14:textId="77777777" w:rsidR="00763919" w:rsidRPr="001F24D1" w:rsidRDefault="00763919" w:rsidP="001D65AF">
            <w:pPr>
              <w:rPr>
                <w:rFonts w:ascii="宋体" w:hAnsi="宋体" w:cstheme="majorHAnsi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9AA6F" w14:textId="199D3548" w:rsidR="00763919" w:rsidRPr="001F24D1" w:rsidRDefault="001D65AF" w:rsidP="001D65AF">
            <w:pPr>
              <w:widowControl w:val="0"/>
              <w:jc w:val="both"/>
              <w:rPr>
                <w:rFonts w:ascii="宋体" w:hAnsi="宋体" w:cstheme="majorHAnsi"/>
                <w:color w:val="000000" w:themeColor="text1"/>
                <w:kern w:val="2"/>
                <w:sz w:val="24"/>
                <w:szCs w:val="24"/>
              </w:rPr>
            </w:pPr>
            <w:r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FE"/>
            </w:r>
            <w:r w:rsidR="00763919"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2、存在上下游关系的参与集中的经营者，在上下游市场所占的市场份额均小于25%。</w:t>
            </w:r>
          </w:p>
        </w:tc>
      </w:tr>
      <w:tr w:rsidR="00763919" w:rsidRPr="001F24D1" w14:paraId="55D6E612" w14:textId="77777777" w:rsidTr="00332DB4">
        <w:trPr>
          <w:trHeight w:val="285"/>
        </w:trPr>
        <w:tc>
          <w:tcPr>
            <w:tcW w:w="1033" w:type="pct"/>
            <w:vMerge/>
            <w:vAlign w:val="center"/>
          </w:tcPr>
          <w:p w14:paraId="68CD609A" w14:textId="77777777" w:rsidR="00763919" w:rsidRPr="001F24D1" w:rsidRDefault="00763919" w:rsidP="001D65AF">
            <w:pPr>
              <w:rPr>
                <w:rFonts w:ascii="宋体" w:hAnsi="宋体" w:cstheme="majorHAnsi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FCFE2" w14:textId="3F11BF4F" w:rsidR="00763919" w:rsidRPr="001F24D1" w:rsidRDefault="001D65AF" w:rsidP="001D65AF">
            <w:pPr>
              <w:widowControl w:val="0"/>
              <w:jc w:val="both"/>
              <w:rPr>
                <w:rFonts w:ascii="宋体" w:hAnsi="宋体" w:cstheme="majorHAnsi"/>
                <w:color w:val="000000" w:themeColor="text1"/>
                <w:kern w:val="2"/>
                <w:sz w:val="24"/>
                <w:szCs w:val="24"/>
              </w:rPr>
            </w:pPr>
            <w:r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A8"/>
            </w:r>
            <w:r w:rsidR="00763919"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763919" w:rsidRPr="001F24D1" w14:paraId="052EBD22" w14:textId="77777777" w:rsidTr="00332DB4">
        <w:trPr>
          <w:trHeight w:val="629"/>
        </w:trPr>
        <w:tc>
          <w:tcPr>
            <w:tcW w:w="1033" w:type="pct"/>
            <w:vMerge/>
            <w:vAlign w:val="center"/>
          </w:tcPr>
          <w:p w14:paraId="304519A1" w14:textId="77777777" w:rsidR="00763919" w:rsidRPr="001F24D1" w:rsidRDefault="00763919" w:rsidP="001D65AF">
            <w:pPr>
              <w:rPr>
                <w:rFonts w:ascii="宋体" w:hAnsi="宋体" w:cstheme="majorHAnsi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F50E34" w14:textId="26E4FD5C" w:rsidR="00763919" w:rsidRPr="001F24D1" w:rsidRDefault="001D65AF" w:rsidP="001D65AF">
            <w:pPr>
              <w:widowControl w:val="0"/>
              <w:jc w:val="both"/>
              <w:rPr>
                <w:rFonts w:ascii="宋体" w:hAnsi="宋体" w:cstheme="majorHAnsi"/>
                <w:color w:val="000000" w:themeColor="text1"/>
                <w:kern w:val="2"/>
                <w:sz w:val="24"/>
                <w:szCs w:val="24"/>
              </w:rPr>
            </w:pPr>
            <w:r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A8"/>
            </w:r>
            <w:r w:rsidR="00763919"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4、参与集中的经营者在中国境外设立合营企业，合营企业不在中国境内从事经济活动。</w:t>
            </w:r>
          </w:p>
        </w:tc>
      </w:tr>
      <w:tr w:rsidR="00763919" w:rsidRPr="001F24D1" w14:paraId="07A3FFD2" w14:textId="77777777" w:rsidTr="00332DB4">
        <w:trPr>
          <w:trHeight w:val="264"/>
        </w:trPr>
        <w:tc>
          <w:tcPr>
            <w:tcW w:w="1033" w:type="pct"/>
            <w:vMerge/>
            <w:vAlign w:val="center"/>
          </w:tcPr>
          <w:p w14:paraId="6D1A6577" w14:textId="77777777" w:rsidR="00763919" w:rsidRPr="001F24D1" w:rsidRDefault="00763919" w:rsidP="001D65AF">
            <w:pPr>
              <w:rPr>
                <w:rFonts w:ascii="宋体" w:hAnsi="宋体" w:cstheme="majorHAnsi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37533" w14:textId="39D88D16" w:rsidR="00763919" w:rsidRPr="001F24D1" w:rsidRDefault="001D65AF" w:rsidP="002B222A">
            <w:pPr>
              <w:widowControl w:val="0"/>
              <w:jc w:val="both"/>
              <w:rPr>
                <w:rFonts w:ascii="宋体" w:hAnsi="宋体" w:cstheme="majorHAnsi"/>
                <w:color w:val="000000" w:themeColor="text1"/>
                <w:sz w:val="24"/>
                <w:szCs w:val="24"/>
              </w:rPr>
            </w:pPr>
            <w:r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A8"/>
            </w:r>
            <w:r w:rsidR="00763919"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763919" w:rsidRPr="001F24D1" w14:paraId="122689A8" w14:textId="77777777" w:rsidTr="00332DB4">
        <w:trPr>
          <w:trHeight w:val="345"/>
        </w:trPr>
        <w:tc>
          <w:tcPr>
            <w:tcW w:w="1033" w:type="pct"/>
            <w:vMerge/>
            <w:vAlign w:val="center"/>
          </w:tcPr>
          <w:p w14:paraId="3999CA0C" w14:textId="77777777" w:rsidR="00763919" w:rsidRPr="001F24D1" w:rsidRDefault="00763919" w:rsidP="001D65AF">
            <w:pPr>
              <w:rPr>
                <w:rFonts w:ascii="宋体" w:hAnsi="宋体" w:cstheme="majorHAnsi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8EF05" w14:textId="43A95697" w:rsidR="00763919" w:rsidRPr="001F24D1" w:rsidRDefault="001D65AF" w:rsidP="002B222A">
            <w:pPr>
              <w:widowControl w:val="0"/>
              <w:jc w:val="both"/>
              <w:rPr>
                <w:rFonts w:ascii="宋体" w:hAnsi="宋体" w:cstheme="majorHAnsi"/>
                <w:color w:val="000000" w:themeColor="text1"/>
                <w:kern w:val="2"/>
                <w:sz w:val="24"/>
                <w:szCs w:val="24"/>
              </w:rPr>
            </w:pPr>
            <w:r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sym w:font="Wingdings" w:char="00A8"/>
            </w:r>
            <w:r w:rsidR="00763919" w:rsidRPr="00C057DE">
              <w:rPr>
                <w:rFonts w:ascii="宋体" w:hAnsi="宋体" w:cs="宋体" w:hint="eastAsia"/>
                <w:bCs/>
                <w:color w:val="000000"/>
                <w:sz w:val="24"/>
                <w:szCs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763919" w:rsidRPr="001F24D1" w14:paraId="459AB308" w14:textId="77777777" w:rsidTr="00332DB4">
        <w:tc>
          <w:tcPr>
            <w:tcW w:w="10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BA8A7" w14:textId="77777777" w:rsidR="00763919" w:rsidRPr="00C057DE" w:rsidRDefault="00763919" w:rsidP="001D65AF">
            <w:pPr>
              <w:widowControl w:val="0"/>
              <w:jc w:val="both"/>
              <w:rPr>
                <w:rFonts w:ascii="宋体" w:hAnsi="宋体" w:cstheme="majorHAnsi"/>
                <w:b/>
                <w:color w:val="000000" w:themeColor="text1"/>
                <w:kern w:val="2"/>
                <w:sz w:val="24"/>
                <w:szCs w:val="24"/>
                <w:lang w:eastAsia="en-GB"/>
              </w:rPr>
            </w:pPr>
            <w:r w:rsidRPr="00C057DE">
              <w:rPr>
                <w:rFonts w:ascii="宋体" w:hAnsi="宋体" w:cstheme="majorHAnsi" w:hint="eastAsia"/>
                <w:b/>
                <w:color w:val="000000" w:themeColor="text1"/>
                <w:kern w:val="2"/>
                <w:sz w:val="24"/>
                <w:szCs w:val="24"/>
              </w:rPr>
              <w:t>备注</w:t>
            </w:r>
          </w:p>
        </w:tc>
        <w:tc>
          <w:tcPr>
            <w:tcW w:w="39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1F879" w14:textId="77777777" w:rsidR="00763919" w:rsidRPr="00C057DE" w:rsidRDefault="00763919" w:rsidP="002B222A">
            <w:pPr>
              <w:widowControl w:val="0"/>
              <w:jc w:val="both"/>
              <w:rPr>
                <w:rFonts w:ascii="宋体" w:hAnsi="宋体" w:cstheme="majorHAnsi"/>
                <w:color w:val="000000" w:themeColor="text1"/>
                <w:sz w:val="24"/>
                <w:szCs w:val="24"/>
              </w:rPr>
            </w:pPr>
            <w:r w:rsidRPr="00C057DE">
              <w:rPr>
                <w:rFonts w:ascii="宋体" w:hAnsi="宋体" w:cstheme="majorHAnsi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t>横向重叠：</w:t>
            </w:r>
          </w:p>
          <w:tbl>
            <w:tblPr>
              <w:tblStyle w:val="TableGrid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07"/>
              <w:gridCol w:w="2106"/>
              <w:gridCol w:w="2143"/>
            </w:tblGrid>
            <w:tr w:rsidR="00763919" w:rsidRPr="001F24D1" w14:paraId="10F518BA" w14:textId="77777777" w:rsidTr="00332DB4">
              <w:tc>
                <w:tcPr>
                  <w:tcW w:w="2241" w:type="dxa"/>
                </w:tcPr>
                <w:p w14:paraId="20A5D95B" w14:textId="77777777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相关产品市场</w:t>
                  </w:r>
                </w:p>
              </w:tc>
              <w:tc>
                <w:tcPr>
                  <w:tcW w:w="2241" w:type="dxa"/>
                </w:tcPr>
                <w:p w14:paraId="15902FA9" w14:textId="77777777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相关地域市场</w:t>
                  </w:r>
                </w:p>
              </w:tc>
              <w:tc>
                <w:tcPr>
                  <w:tcW w:w="2242" w:type="dxa"/>
                </w:tcPr>
                <w:p w14:paraId="57812855" w14:textId="77777777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  <w:t>2022</w:t>
                  </w: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年市场份额</w:t>
                  </w:r>
                </w:p>
              </w:tc>
            </w:tr>
            <w:tr w:rsidR="00763919" w:rsidRPr="001F24D1" w14:paraId="1BD47C03" w14:textId="77777777" w:rsidTr="00332DB4">
              <w:tc>
                <w:tcPr>
                  <w:tcW w:w="2241" w:type="dxa"/>
                </w:tcPr>
                <w:p w14:paraId="25C254DD" w14:textId="77777777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铁矿石市场</w:t>
                  </w:r>
                </w:p>
              </w:tc>
              <w:tc>
                <w:tcPr>
                  <w:tcW w:w="2241" w:type="dxa"/>
                </w:tcPr>
                <w:p w14:paraId="2B3E6C17" w14:textId="54AD9661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全球</w:t>
                  </w:r>
                </w:p>
              </w:tc>
              <w:tc>
                <w:tcPr>
                  <w:tcW w:w="2242" w:type="dxa"/>
                </w:tcPr>
                <w:p w14:paraId="14C584FA" w14:textId="087CC325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住友商事：0-5%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（全球）</w:t>
                  </w: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；0-5%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（中国境内）</w:t>
                  </w:r>
                </w:p>
                <w:p w14:paraId="788B1D65" w14:textId="66C5E300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OMA：0-5%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（全球）</w:t>
                  </w: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；0-5%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（中国境内）</w:t>
                  </w:r>
                </w:p>
                <w:p w14:paraId="0BF39CD6" w14:textId="0228CA0F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合计：0-5%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（全球）</w:t>
                  </w: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；0-5%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（中国境内）</w:t>
                  </w:r>
                </w:p>
              </w:tc>
            </w:tr>
            <w:tr w:rsidR="00763919" w:rsidRPr="001F24D1" w14:paraId="2D53ACF5" w14:textId="77777777" w:rsidTr="00332DB4">
              <w:tc>
                <w:tcPr>
                  <w:tcW w:w="2241" w:type="dxa"/>
                </w:tcPr>
                <w:p w14:paraId="41A63065" w14:textId="77777777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lastRenderedPageBreak/>
                    <w:t>锰矿石市场</w:t>
                  </w:r>
                </w:p>
              </w:tc>
              <w:tc>
                <w:tcPr>
                  <w:tcW w:w="2241" w:type="dxa"/>
                </w:tcPr>
                <w:p w14:paraId="1F9B5A1A" w14:textId="226EF2C3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全球</w:t>
                  </w:r>
                </w:p>
              </w:tc>
              <w:tc>
                <w:tcPr>
                  <w:tcW w:w="2242" w:type="dxa"/>
                </w:tcPr>
                <w:p w14:paraId="25DC4EE5" w14:textId="2EB562A0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住友商事：0-5%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（全球）</w:t>
                  </w: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；5-10%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（中国境内）</w:t>
                  </w:r>
                </w:p>
                <w:p w14:paraId="0FCB6A8E" w14:textId="262AC9AE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OMA：</w:t>
                  </w:r>
                  <w:r w:rsidRPr="00C057DE">
                    <w:rPr>
                      <w:rFonts w:ascii="宋体" w:hAnsi="宋体" w:cstheme="majorHAnsi" w:hint="eastAsia"/>
                      <w:sz w:val="24"/>
                      <w:szCs w:val="24"/>
                    </w:rPr>
                    <w:t>0-5%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（全球）</w:t>
                  </w: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；0</w:t>
                  </w:r>
                  <w:r w:rsidR="002D164D"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  <w:t>-5</w:t>
                  </w: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（中国境内）</w:t>
                  </w:r>
                </w:p>
                <w:p w14:paraId="09C38861" w14:textId="0ED556A9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合计：5-10%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（全球）</w:t>
                  </w: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；5-10%</w:t>
                  </w:r>
                  <w:r w:rsidR="001D65AF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（中国境内）</w:t>
                  </w:r>
                </w:p>
              </w:tc>
            </w:tr>
            <w:tr w:rsidR="00763919" w:rsidRPr="001F24D1" w14:paraId="5C1CAF4F" w14:textId="77777777" w:rsidTr="00332DB4">
              <w:tc>
                <w:tcPr>
                  <w:tcW w:w="2241" w:type="dxa"/>
                </w:tcPr>
                <w:p w14:paraId="7E1F03EC" w14:textId="77777777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锰铁合金市场</w:t>
                  </w:r>
                </w:p>
              </w:tc>
              <w:tc>
                <w:tcPr>
                  <w:tcW w:w="2241" w:type="dxa"/>
                </w:tcPr>
                <w:p w14:paraId="06E67B89" w14:textId="5E50D3F8" w:rsidR="00763919" w:rsidRPr="00C057DE" w:rsidRDefault="002D164D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="Arial" w:hint="eastAsia"/>
                      <w:sz w:val="24"/>
                      <w:szCs w:val="24"/>
                    </w:rPr>
                    <w:t>国别</w:t>
                  </w:r>
                  <w:r w:rsidR="00C76559">
                    <w:rPr>
                      <w:rFonts w:ascii="宋体" w:hAnsi="宋体" w:cs="Arial" w:hint="eastAsia"/>
                      <w:sz w:val="24"/>
                      <w:szCs w:val="24"/>
                    </w:rPr>
                    <w:t>市场</w:t>
                  </w:r>
                </w:p>
              </w:tc>
              <w:tc>
                <w:tcPr>
                  <w:tcW w:w="2242" w:type="dxa"/>
                  <w:vAlign w:val="center"/>
                </w:tcPr>
                <w:p w14:paraId="365B0006" w14:textId="607108CB" w:rsidR="00763919" w:rsidRPr="00C057DE" w:rsidRDefault="002D164D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不适用</w:t>
                  </w:r>
                </w:p>
              </w:tc>
            </w:tr>
          </w:tbl>
          <w:p w14:paraId="537E4E54" w14:textId="77777777" w:rsidR="00763919" w:rsidRPr="00C057DE" w:rsidRDefault="00763919" w:rsidP="002B222A">
            <w:pPr>
              <w:pStyle w:val="BodyText"/>
              <w:spacing w:after="0"/>
              <w:rPr>
                <w:rFonts w:ascii="宋体" w:hAnsi="宋体" w:cstheme="majorHAnsi"/>
                <w:color w:val="000000" w:themeColor="text1"/>
                <w:sz w:val="24"/>
                <w:szCs w:val="24"/>
              </w:rPr>
            </w:pPr>
          </w:p>
          <w:p w14:paraId="2F8FC42F" w14:textId="77777777" w:rsidR="00763919" w:rsidRPr="00C057DE" w:rsidRDefault="00763919" w:rsidP="002B222A">
            <w:pPr>
              <w:pStyle w:val="BodyText"/>
              <w:spacing w:after="0"/>
              <w:rPr>
                <w:rFonts w:ascii="宋体" w:hAnsi="宋体" w:cstheme="majorHAnsi"/>
                <w:color w:val="000000" w:themeColor="text1"/>
                <w:sz w:val="24"/>
                <w:szCs w:val="24"/>
              </w:rPr>
            </w:pPr>
            <w:r w:rsidRPr="00C057DE">
              <w:rPr>
                <w:rFonts w:ascii="宋体" w:hAnsi="宋体" w:cstheme="majorHAnsi" w:hint="eastAsia"/>
                <w:b/>
                <w:bCs/>
                <w:color w:val="000000" w:themeColor="text1"/>
                <w:sz w:val="24"/>
                <w:szCs w:val="24"/>
              </w:rPr>
              <w:t>纵向关系：</w:t>
            </w:r>
          </w:p>
          <w:tbl>
            <w:tblPr>
              <w:tblStyle w:val="TableGrid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19"/>
              <w:gridCol w:w="2118"/>
              <w:gridCol w:w="2119"/>
            </w:tblGrid>
            <w:tr w:rsidR="00763919" w:rsidRPr="001F24D1" w14:paraId="0E2B764B" w14:textId="77777777" w:rsidTr="00332DB4">
              <w:tc>
                <w:tcPr>
                  <w:tcW w:w="2241" w:type="dxa"/>
                </w:tcPr>
                <w:p w14:paraId="3966067B" w14:textId="77777777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bookmarkStart w:id="1" w:name="_Hlk146582724"/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相关产品市场</w:t>
                  </w:r>
                </w:p>
              </w:tc>
              <w:tc>
                <w:tcPr>
                  <w:tcW w:w="2241" w:type="dxa"/>
                </w:tcPr>
                <w:p w14:paraId="1A137A7F" w14:textId="77777777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相关地域市场</w:t>
                  </w:r>
                </w:p>
              </w:tc>
              <w:tc>
                <w:tcPr>
                  <w:tcW w:w="2242" w:type="dxa"/>
                </w:tcPr>
                <w:p w14:paraId="784F1D7F" w14:textId="77777777" w:rsidR="00763919" w:rsidRPr="00C057DE" w:rsidRDefault="00763919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2022年市场份额</w:t>
                  </w:r>
                </w:p>
              </w:tc>
            </w:tr>
            <w:tr w:rsidR="00763919" w:rsidRPr="001F24D1" w14:paraId="36736821" w14:textId="77777777" w:rsidTr="00332DB4">
              <w:tc>
                <w:tcPr>
                  <w:tcW w:w="2241" w:type="dxa"/>
                </w:tcPr>
                <w:p w14:paraId="3465D71D" w14:textId="296A591A" w:rsidR="00763919" w:rsidRPr="00C057DE" w:rsidRDefault="001D65AF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上游：</w:t>
                  </w:r>
                  <w:r w:rsidR="00763919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铁矿石市场</w:t>
                  </w:r>
                </w:p>
                <w:p w14:paraId="41FA5265" w14:textId="6FE90DC3" w:rsidR="00763919" w:rsidRPr="00C057DE" w:rsidRDefault="001D65AF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下游：</w:t>
                  </w:r>
                  <w:r w:rsidR="00763919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锰铁合金市场</w:t>
                  </w:r>
                </w:p>
              </w:tc>
              <w:tc>
                <w:tcPr>
                  <w:tcW w:w="2241" w:type="dxa"/>
                </w:tcPr>
                <w:p w14:paraId="3B37C4E2" w14:textId="5AC1F171" w:rsidR="00763919" w:rsidRPr="00C057DE" w:rsidRDefault="001D65AF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上游：</w:t>
                  </w:r>
                  <w:r w:rsidR="00763919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全球</w:t>
                  </w:r>
                </w:p>
                <w:p w14:paraId="6588E3EC" w14:textId="1B4709C3" w:rsidR="00763919" w:rsidRPr="00C057DE" w:rsidRDefault="001D65AF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下游：</w:t>
                  </w:r>
                  <w:r w:rsidR="002D164D">
                    <w:rPr>
                      <w:rFonts w:ascii="宋体" w:hAnsi="宋体" w:cs="Arial" w:hint="eastAsia"/>
                      <w:sz w:val="24"/>
                      <w:szCs w:val="24"/>
                    </w:rPr>
                    <w:t>国别</w:t>
                  </w:r>
                  <w:r w:rsidR="00C76559">
                    <w:rPr>
                      <w:rFonts w:ascii="宋体" w:hAnsi="宋体" w:cs="Arial" w:hint="eastAsia"/>
                      <w:sz w:val="24"/>
                      <w:szCs w:val="24"/>
                    </w:rPr>
                    <w:t>市场</w:t>
                  </w:r>
                </w:p>
              </w:tc>
              <w:tc>
                <w:tcPr>
                  <w:tcW w:w="2242" w:type="dxa"/>
                </w:tcPr>
                <w:p w14:paraId="6570E0F8" w14:textId="5D2DC48C" w:rsidR="00763919" w:rsidRPr="00C76559" w:rsidRDefault="002D164D" w:rsidP="002B534A">
                  <w:pPr>
                    <w:pStyle w:val="Heading1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宋体" w:eastAsia="宋体" w:hAnsi="宋体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C76559">
                    <w:rPr>
                      <w:rFonts w:ascii="宋体" w:eastAsia="宋体" w:hAnsi="宋体" w:hint="eastAsia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如上所述</w:t>
                  </w:r>
                </w:p>
              </w:tc>
            </w:tr>
            <w:tr w:rsidR="00763919" w:rsidRPr="001F24D1" w14:paraId="03AC2CE5" w14:textId="77777777" w:rsidTr="00332DB4">
              <w:tc>
                <w:tcPr>
                  <w:tcW w:w="2241" w:type="dxa"/>
                </w:tcPr>
                <w:p w14:paraId="046E9242" w14:textId="5E32EBED" w:rsidR="00763919" w:rsidRPr="00C057DE" w:rsidRDefault="001D65AF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上游：</w:t>
                  </w:r>
                  <w:r w:rsidR="00763919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锰矿石市场</w:t>
                  </w:r>
                </w:p>
                <w:p w14:paraId="20EDA068" w14:textId="6291DD4E" w:rsidR="00763919" w:rsidRPr="00C057DE" w:rsidRDefault="001D65AF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下游：</w:t>
                  </w:r>
                  <w:r w:rsidR="00763919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锰铁合金市场</w:t>
                  </w:r>
                </w:p>
              </w:tc>
              <w:tc>
                <w:tcPr>
                  <w:tcW w:w="2241" w:type="dxa"/>
                </w:tcPr>
                <w:p w14:paraId="572F729F" w14:textId="10E3DCFE" w:rsidR="00763919" w:rsidRPr="00C057DE" w:rsidRDefault="001D65AF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上游：</w:t>
                  </w:r>
                  <w:r w:rsidR="00763919"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全球</w:t>
                  </w:r>
                </w:p>
                <w:p w14:paraId="524D2A7B" w14:textId="7DBE7039" w:rsidR="00763919" w:rsidRPr="00C057DE" w:rsidRDefault="001D65AF" w:rsidP="002B222A">
                  <w:pPr>
                    <w:pStyle w:val="BodyText"/>
                    <w:spacing w:after="0"/>
                    <w:rPr>
                      <w:rFonts w:ascii="宋体" w:hAnsi="宋体" w:cstheme="majorHAnsi"/>
                      <w:color w:val="000000" w:themeColor="text1"/>
                      <w:sz w:val="24"/>
                      <w:szCs w:val="24"/>
                    </w:rPr>
                  </w:pPr>
                  <w:r w:rsidRPr="00C057DE">
                    <w:rPr>
                      <w:rFonts w:ascii="宋体" w:hAnsi="宋体" w:cstheme="majorHAnsi" w:hint="eastAsia"/>
                      <w:color w:val="000000" w:themeColor="text1"/>
                      <w:sz w:val="24"/>
                      <w:szCs w:val="24"/>
                    </w:rPr>
                    <w:t>下游：</w:t>
                  </w:r>
                  <w:r w:rsidR="002D164D">
                    <w:rPr>
                      <w:rFonts w:ascii="宋体" w:hAnsi="宋体" w:cs="Arial" w:hint="eastAsia"/>
                      <w:sz w:val="24"/>
                      <w:szCs w:val="24"/>
                    </w:rPr>
                    <w:t>国别</w:t>
                  </w:r>
                  <w:r w:rsidR="00C76559">
                    <w:rPr>
                      <w:rFonts w:ascii="宋体" w:hAnsi="宋体" w:cs="Arial" w:hint="eastAsia"/>
                      <w:sz w:val="24"/>
                      <w:szCs w:val="24"/>
                    </w:rPr>
                    <w:t>市场</w:t>
                  </w:r>
                </w:p>
              </w:tc>
              <w:tc>
                <w:tcPr>
                  <w:tcW w:w="2242" w:type="dxa"/>
                </w:tcPr>
                <w:p w14:paraId="0C5A6A49" w14:textId="3C7F887A" w:rsidR="00763919" w:rsidRPr="002B534A" w:rsidRDefault="002D164D" w:rsidP="002B534A">
                  <w:pPr>
                    <w:pStyle w:val="Heading1"/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宋体" w:eastAsia="宋体" w:hAnsi="宋体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2B534A">
                    <w:rPr>
                      <w:rFonts w:ascii="宋体" w:eastAsia="宋体" w:hAnsi="宋体" w:hint="eastAsia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如上所述</w:t>
                  </w:r>
                </w:p>
              </w:tc>
            </w:tr>
            <w:bookmarkEnd w:id="1"/>
          </w:tbl>
          <w:p w14:paraId="7F42ED68" w14:textId="77777777" w:rsidR="00763919" w:rsidRPr="00C057DE" w:rsidRDefault="00763919" w:rsidP="002B222A">
            <w:pPr>
              <w:pStyle w:val="BodyText"/>
              <w:spacing w:after="0"/>
              <w:rPr>
                <w:rFonts w:ascii="宋体" w:hAnsi="宋体" w:cstheme="majorHAnsi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20CDE023" w14:textId="77777777" w:rsidR="009447D6" w:rsidRPr="00763919" w:rsidRDefault="009447D6"/>
    <w:sectPr w:rsidR="009447D6" w:rsidRPr="007639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DEF1" w14:textId="77777777" w:rsidR="009D427E" w:rsidRDefault="009D427E" w:rsidP="00D416D1">
      <w:r>
        <w:separator/>
      </w:r>
    </w:p>
  </w:endnote>
  <w:endnote w:type="continuationSeparator" w:id="0">
    <w:p w14:paraId="0F0F3FBA" w14:textId="77777777" w:rsidR="009D427E" w:rsidRDefault="009D427E" w:rsidP="00D4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025593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18D51AF" w14:textId="6A5E3A25" w:rsidR="00A46B92" w:rsidRDefault="00A46B92"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46793" w14:textId="77777777" w:rsidR="00D416D1" w:rsidRDefault="00D41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89C9" w14:textId="77777777" w:rsidR="009D427E" w:rsidRDefault="009D427E" w:rsidP="00D416D1">
      <w:r>
        <w:separator/>
      </w:r>
    </w:p>
  </w:footnote>
  <w:footnote w:type="continuationSeparator" w:id="0">
    <w:p w14:paraId="28A093C2" w14:textId="77777777" w:rsidR="009D427E" w:rsidRDefault="009D427E" w:rsidP="00D4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1F46D9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1" w15:restartNumberingAfterBreak="0">
    <w:nsid w:val="FFFFFF7E"/>
    <w:multiLevelType w:val="singleLevel"/>
    <w:tmpl w:val="ACD6041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2" w15:restartNumberingAfterBreak="0">
    <w:nsid w:val="FFFFFF7F"/>
    <w:multiLevelType w:val="singleLevel"/>
    <w:tmpl w:val="739CBFA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3" w15:restartNumberingAfterBreak="0">
    <w:nsid w:val="FFFFFF88"/>
    <w:multiLevelType w:val="singleLevel"/>
    <w:tmpl w:val="6DCC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0E4F6DC4"/>
    <w:multiLevelType w:val="hybridMultilevel"/>
    <w:tmpl w:val="E9864922"/>
    <w:lvl w:ilvl="0" w:tplc="04090011">
      <w:start w:val="1"/>
      <w:numFmt w:val="decimal"/>
      <w:lvlText w:val="%1)"/>
      <w:lvlJc w:val="left"/>
      <w:pPr>
        <w:ind w:left="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440" w:hanging="440"/>
      </w:pPr>
    </w:lvl>
    <w:lvl w:ilvl="2" w:tplc="FFFFFFFF" w:tentative="1">
      <w:start w:val="1"/>
      <w:numFmt w:val="lowerRoman"/>
      <w:lvlText w:val="%3."/>
      <w:lvlJc w:val="right"/>
      <w:pPr>
        <w:ind w:left="880" w:hanging="440"/>
      </w:pPr>
    </w:lvl>
    <w:lvl w:ilvl="3" w:tplc="FFFFFFFF" w:tentative="1">
      <w:start w:val="1"/>
      <w:numFmt w:val="decimal"/>
      <w:lvlText w:val="%4."/>
      <w:lvlJc w:val="left"/>
      <w:pPr>
        <w:ind w:left="1320" w:hanging="440"/>
      </w:pPr>
    </w:lvl>
    <w:lvl w:ilvl="4" w:tplc="FFFFFFFF" w:tentative="1">
      <w:start w:val="1"/>
      <w:numFmt w:val="lowerLetter"/>
      <w:lvlText w:val="%5)"/>
      <w:lvlJc w:val="left"/>
      <w:pPr>
        <w:ind w:left="1760" w:hanging="440"/>
      </w:pPr>
    </w:lvl>
    <w:lvl w:ilvl="5" w:tplc="FFFFFFFF" w:tentative="1">
      <w:start w:val="1"/>
      <w:numFmt w:val="lowerRoman"/>
      <w:lvlText w:val="%6."/>
      <w:lvlJc w:val="right"/>
      <w:pPr>
        <w:ind w:left="2200" w:hanging="440"/>
      </w:pPr>
    </w:lvl>
    <w:lvl w:ilvl="6" w:tplc="FFFFFFFF" w:tentative="1">
      <w:start w:val="1"/>
      <w:numFmt w:val="decimal"/>
      <w:lvlText w:val="%7."/>
      <w:lvlJc w:val="left"/>
      <w:pPr>
        <w:ind w:left="2640" w:hanging="440"/>
      </w:pPr>
    </w:lvl>
    <w:lvl w:ilvl="7" w:tplc="FFFFFFFF" w:tentative="1">
      <w:start w:val="1"/>
      <w:numFmt w:val="lowerLetter"/>
      <w:lvlText w:val="%8)"/>
      <w:lvlJc w:val="left"/>
      <w:pPr>
        <w:ind w:left="3080" w:hanging="440"/>
      </w:pPr>
    </w:lvl>
    <w:lvl w:ilvl="8" w:tplc="FFFFFFFF" w:tentative="1">
      <w:start w:val="1"/>
      <w:numFmt w:val="lowerRoman"/>
      <w:lvlText w:val="%9."/>
      <w:lvlJc w:val="right"/>
      <w:pPr>
        <w:ind w:left="3520" w:hanging="440"/>
      </w:pPr>
    </w:lvl>
  </w:abstractNum>
  <w:abstractNum w:abstractNumId="7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1C7A27"/>
    <w:multiLevelType w:val="hybridMultilevel"/>
    <w:tmpl w:val="06924C16"/>
    <w:lvl w:ilvl="0" w:tplc="143460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8FC3910"/>
    <w:multiLevelType w:val="multilevel"/>
    <w:tmpl w:val="7B24B224"/>
    <w:numStyleLink w:val="BMHeadings"/>
  </w:abstractNum>
  <w:abstractNum w:abstractNumId="12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3867F6"/>
    <w:multiLevelType w:val="hybridMultilevel"/>
    <w:tmpl w:val="1BCEEF14"/>
    <w:lvl w:ilvl="0" w:tplc="7244189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AA4ACF"/>
    <w:multiLevelType w:val="hybridMultilevel"/>
    <w:tmpl w:val="19E83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011941"/>
    <w:multiLevelType w:val="hybridMultilevel"/>
    <w:tmpl w:val="B77E0BCE"/>
    <w:lvl w:ilvl="0" w:tplc="0284FCFC">
      <w:start w:val="1"/>
      <w:numFmt w:val="bullet"/>
      <w:lvlText w:val="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664233274">
    <w:abstractNumId w:val="13"/>
  </w:num>
  <w:num w:numId="2" w16cid:durableId="614871163">
    <w:abstractNumId w:val="8"/>
  </w:num>
  <w:num w:numId="3" w16cid:durableId="386413606">
    <w:abstractNumId w:val="12"/>
  </w:num>
  <w:num w:numId="4" w16cid:durableId="1539704091">
    <w:abstractNumId w:val="9"/>
  </w:num>
  <w:num w:numId="5" w16cid:durableId="556740772">
    <w:abstractNumId w:val="10"/>
  </w:num>
  <w:num w:numId="6" w16cid:durableId="683752893">
    <w:abstractNumId w:val="4"/>
  </w:num>
  <w:num w:numId="7" w16cid:durableId="1041977623">
    <w:abstractNumId w:val="12"/>
  </w:num>
  <w:num w:numId="8" w16cid:durableId="1549949752">
    <w:abstractNumId w:val="7"/>
  </w:num>
  <w:num w:numId="9" w16cid:durableId="1749882746">
    <w:abstractNumId w:val="5"/>
  </w:num>
  <w:num w:numId="10" w16cid:durableId="27731147">
    <w:abstractNumId w:val="5"/>
  </w:num>
  <w:num w:numId="11" w16cid:durableId="1481968360">
    <w:abstractNumId w:val="5"/>
  </w:num>
  <w:num w:numId="12" w16cid:durableId="278755429">
    <w:abstractNumId w:val="5"/>
  </w:num>
  <w:num w:numId="13" w16cid:durableId="1223254721">
    <w:abstractNumId w:val="5"/>
  </w:num>
  <w:num w:numId="14" w16cid:durableId="1651520004">
    <w:abstractNumId w:val="5"/>
  </w:num>
  <w:num w:numId="15" w16cid:durableId="509413776">
    <w:abstractNumId w:val="11"/>
  </w:num>
  <w:num w:numId="16" w16cid:durableId="1102990631">
    <w:abstractNumId w:val="11"/>
  </w:num>
  <w:num w:numId="17" w16cid:durableId="250503562">
    <w:abstractNumId w:val="11"/>
  </w:num>
  <w:num w:numId="18" w16cid:durableId="599530971">
    <w:abstractNumId w:val="11"/>
  </w:num>
  <w:num w:numId="19" w16cid:durableId="1012806335">
    <w:abstractNumId w:val="11"/>
  </w:num>
  <w:num w:numId="20" w16cid:durableId="19674089">
    <w:abstractNumId w:val="11"/>
  </w:num>
  <w:num w:numId="21" w16cid:durableId="1298604373">
    <w:abstractNumId w:val="11"/>
  </w:num>
  <w:num w:numId="22" w16cid:durableId="174540741">
    <w:abstractNumId w:val="3"/>
  </w:num>
  <w:num w:numId="23" w16cid:durableId="69815683">
    <w:abstractNumId w:val="10"/>
  </w:num>
  <w:num w:numId="24" w16cid:durableId="291596898">
    <w:abstractNumId w:val="2"/>
  </w:num>
  <w:num w:numId="25" w16cid:durableId="2144226401">
    <w:abstractNumId w:val="10"/>
  </w:num>
  <w:num w:numId="26" w16cid:durableId="1402095856">
    <w:abstractNumId w:val="1"/>
  </w:num>
  <w:num w:numId="27" w16cid:durableId="1837381316">
    <w:abstractNumId w:val="10"/>
  </w:num>
  <w:num w:numId="28" w16cid:durableId="1772319487">
    <w:abstractNumId w:val="0"/>
  </w:num>
  <w:num w:numId="29" w16cid:durableId="2012219395">
    <w:abstractNumId w:val="10"/>
  </w:num>
  <w:num w:numId="30" w16cid:durableId="587155866">
    <w:abstractNumId w:val="14"/>
  </w:num>
  <w:num w:numId="31" w16cid:durableId="1815368525">
    <w:abstractNumId w:val="15"/>
  </w:num>
  <w:num w:numId="32" w16cid:durableId="1948198842">
    <w:abstractNumId w:val="6"/>
  </w:num>
  <w:num w:numId="33" w16cid:durableId="63532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IwMzY2NjexMDYwNjRR0lEKTi0uzszPAymwrAUAjEtFoiwAAAA="/>
    <w:docVar w:name="OfficeIni" w:val="Beijing - FenXun Partners - SIMPLIFIED CHINESE.ini"/>
  </w:docVars>
  <w:rsids>
    <w:rsidRoot w:val="00763919"/>
    <w:rsid w:val="000220BD"/>
    <w:rsid w:val="00022F43"/>
    <w:rsid w:val="0003385D"/>
    <w:rsid w:val="000356CF"/>
    <w:rsid w:val="00050795"/>
    <w:rsid w:val="00050FA6"/>
    <w:rsid w:val="000859DC"/>
    <w:rsid w:val="000935C2"/>
    <w:rsid w:val="00093834"/>
    <w:rsid w:val="000A621D"/>
    <w:rsid w:val="000B10D9"/>
    <w:rsid w:val="000C4D45"/>
    <w:rsid w:val="000C5E0D"/>
    <w:rsid w:val="000D02DB"/>
    <w:rsid w:val="000E4355"/>
    <w:rsid w:val="000F7D55"/>
    <w:rsid w:val="001207DA"/>
    <w:rsid w:val="00125FCF"/>
    <w:rsid w:val="00135D5C"/>
    <w:rsid w:val="00157701"/>
    <w:rsid w:val="00157B9B"/>
    <w:rsid w:val="001639E5"/>
    <w:rsid w:val="001832C1"/>
    <w:rsid w:val="00185CE5"/>
    <w:rsid w:val="001A16A6"/>
    <w:rsid w:val="001A5EAE"/>
    <w:rsid w:val="001C4FF6"/>
    <w:rsid w:val="001D65AF"/>
    <w:rsid w:val="001E153E"/>
    <w:rsid w:val="001F24D1"/>
    <w:rsid w:val="001F3176"/>
    <w:rsid w:val="002275A7"/>
    <w:rsid w:val="00230899"/>
    <w:rsid w:val="002346D2"/>
    <w:rsid w:val="00241706"/>
    <w:rsid w:val="00242326"/>
    <w:rsid w:val="00270FDF"/>
    <w:rsid w:val="002A1DAB"/>
    <w:rsid w:val="002A41DD"/>
    <w:rsid w:val="002A641E"/>
    <w:rsid w:val="002B1237"/>
    <w:rsid w:val="002B222A"/>
    <w:rsid w:val="002B534A"/>
    <w:rsid w:val="002C1886"/>
    <w:rsid w:val="002D13D2"/>
    <w:rsid w:val="002D164D"/>
    <w:rsid w:val="002E359D"/>
    <w:rsid w:val="002F77EC"/>
    <w:rsid w:val="00310DFE"/>
    <w:rsid w:val="00331F05"/>
    <w:rsid w:val="0036260B"/>
    <w:rsid w:val="00364C07"/>
    <w:rsid w:val="00374F0D"/>
    <w:rsid w:val="00393DF0"/>
    <w:rsid w:val="003B26DC"/>
    <w:rsid w:val="00402716"/>
    <w:rsid w:val="00402C67"/>
    <w:rsid w:val="004069E9"/>
    <w:rsid w:val="00440AEB"/>
    <w:rsid w:val="004568C7"/>
    <w:rsid w:val="004569FC"/>
    <w:rsid w:val="0047190C"/>
    <w:rsid w:val="0047501F"/>
    <w:rsid w:val="004A2755"/>
    <w:rsid w:val="004A65C5"/>
    <w:rsid w:val="004A765B"/>
    <w:rsid w:val="004B3990"/>
    <w:rsid w:val="004C15A9"/>
    <w:rsid w:val="004E6CB4"/>
    <w:rsid w:val="004F367A"/>
    <w:rsid w:val="00510B7F"/>
    <w:rsid w:val="00511155"/>
    <w:rsid w:val="00553578"/>
    <w:rsid w:val="00562B32"/>
    <w:rsid w:val="005A7492"/>
    <w:rsid w:val="005B195B"/>
    <w:rsid w:val="005B758D"/>
    <w:rsid w:val="005D1ED6"/>
    <w:rsid w:val="005D7C26"/>
    <w:rsid w:val="005F20F1"/>
    <w:rsid w:val="005F75BF"/>
    <w:rsid w:val="00601F19"/>
    <w:rsid w:val="006038C5"/>
    <w:rsid w:val="006210E1"/>
    <w:rsid w:val="00626588"/>
    <w:rsid w:val="00630C55"/>
    <w:rsid w:val="006332EB"/>
    <w:rsid w:val="006408E8"/>
    <w:rsid w:val="00682E51"/>
    <w:rsid w:val="0068464C"/>
    <w:rsid w:val="00685F0F"/>
    <w:rsid w:val="00687BDE"/>
    <w:rsid w:val="006A68B9"/>
    <w:rsid w:val="006D06FC"/>
    <w:rsid w:val="006D17FD"/>
    <w:rsid w:val="006D28B8"/>
    <w:rsid w:val="006E624F"/>
    <w:rsid w:val="006E7097"/>
    <w:rsid w:val="006F26F6"/>
    <w:rsid w:val="007029E4"/>
    <w:rsid w:val="007115CA"/>
    <w:rsid w:val="00712A31"/>
    <w:rsid w:val="007151DE"/>
    <w:rsid w:val="00715D06"/>
    <w:rsid w:val="007209BE"/>
    <w:rsid w:val="00740FFB"/>
    <w:rsid w:val="00742413"/>
    <w:rsid w:val="00762AD9"/>
    <w:rsid w:val="00763919"/>
    <w:rsid w:val="00773BE3"/>
    <w:rsid w:val="007776ED"/>
    <w:rsid w:val="00786CFB"/>
    <w:rsid w:val="00792B11"/>
    <w:rsid w:val="007A3DCD"/>
    <w:rsid w:val="007B74FB"/>
    <w:rsid w:val="007C62F8"/>
    <w:rsid w:val="007E6879"/>
    <w:rsid w:val="007F0CE4"/>
    <w:rsid w:val="007F3C7C"/>
    <w:rsid w:val="00802635"/>
    <w:rsid w:val="00805E7E"/>
    <w:rsid w:val="0081203F"/>
    <w:rsid w:val="0082270F"/>
    <w:rsid w:val="00823405"/>
    <w:rsid w:val="0082555F"/>
    <w:rsid w:val="00833AD2"/>
    <w:rsid w:val="00837489"/>
    <w:rsid w:val="00844406"/>
    <w:rsid w:val="008506F3"/>
    <w:rsid w:val="00865674"/>
    <w:rsid w:val="008736E7"/>
    <w:rsid w:val="008946C0"/>
    <w:rsid w:val="00896128"/>
    <w:rsid w:val="008B5DF5"/>
    <w:rsid w:val="008B5F71"/>
    <w:rsid w:val="008C7F09"/>
    <w:rsid w:val="008D0B5D"/>
    <w:rsid w:val="008D1176"/>
    <w:rsid w:val="00930F76"/>
    <w:rsid w:val="009447D6"/>
    <w:rsid w:val="00957801"/>
    <w:rsid w:val="009675DC"/>
    <w:rsid w:val="0098177B"/>
    <w:rsid w:val="00990A95"/>
    <w:rsid w:val="009D427E"/>
    <w:rsid w:val="009E05A4"/>
    <w:rsid w:val="009F2524"/>
    <w:rsid w:val="00A00E26"/>
    <w:rsid w:val="00A01966"/>
    <w:rsid w:val="00A02135"/>
    <w:rsid w:val="00A11743"/>
    <w:rsid w:val="00A13888"/>
    <w:rsid w:val="00A46B92"/>
    <w:rsid w:val="00A51A6D"/>
    <w:rsid w:val="00A526BE"/>
    <w:rsid w:val="00A8221B"/>
    <w:rsid w:val="00AB1577"/>
    <w:rsid w:val="00AB6F50"/>
    <w:rsid w:val="00AC1F42"/>
    <w:rsid w:val="00AD14A3"/>
    <w:rsid w:val="00B03B91"/>
    <w:rsid w:val="00B21644"/>
    <w:rsid w:val="00B7642F"/>
    <w:rsid w:val="00B81AA0"/>
    <w:rsid w:val="00B90901"/>
    <w:rsid w:val="00BA075C"/>
    <w:rsid w:val="00BA3CCD"/>
    <w:rsid w:val="00BA7F4A"/>
    <w:rsid w:val="00BB0A82"/>
    <w:rsid w:val="00BB62F2"/>
    <w:rsid w:val="00BC7676"/>
    <w:rsid w:val="00C037AB"/>
    <w:rsid w:val="00C057DE"/>
    <w:rsid w:val="00C11F6B"/>
    <w:rsid w:val="00C151B4"/>
    <w:rsid w:val="00C260C2"/>
    <w:rsid w:val="00C3606E"/>
    <w:rsid w:val="00C36C3A"/>
    <w:rsid w:val="00C75AEF"/>
    <w:rsid w:val="00C76559"/>
    <w:rsid w:val="00C94FAB"/>
    <w:rsid w:val="00CA5E5B"/>
    <w:rsid w:val="00CC4553"/>
    <w:rsid w:val="00CD6FF9"/>
    <w:rsid w:val="00D00199"/>
    <w:rsid w:val="00D335B2"/>
    <w:rsid w:val="00D33950"/>
    <w:rsid w:val="00D367CD"/>
    <w:rsid w:val="00D416D1"/>
    <w:rsid w:val="00D41DED"/>
    <w:rsid w:val="00D540DE"/>
    <w:rsid w:val="00D869E6"/>
    <w:rsid w:val="00DB6C9A"/>
    <w:rsid w:val="00DB7635"/>
    <w:rsid w:val="00DD0DB5"/>
    <w:rsid w:val="00E15658"/>
    <w:rsid w:val="00E162B1"/>
    <w:rsid w:val="00EC43F1"/>
    <w:rsid w:val="00EC553F"/>
    <w:rsid w:val="00EC6C61"/>
    <w:rsid w:val="00EE0D51"/>
    <w:rsid w:val="00EE7A83"/>
    <w:rsid w:val="00EF3286"/>
    <w:rsid w:val="00EF4929"/>
    <w:rsid w:val="00F278C8"/>
    <w:rsid w:val="00F31C10"/>
    <w:rsid w:val="00F40EE2"/>
    <w:rsid w:val="00F4428F"/>
    <w:rsid w:val="00F464C9"/>
    <w:rsid w:val="00F53E29"/>
    <w:rsid w:val="00F7423C"/>
    <w:rsid w:val="00F87079"/>
    <w:rsid w:val="00F91AD6"/>
    <w:rsid w:val="00FA77E8"/>
    <w:rsid w:val="00FC38B2"/>
    <w:rsid w:val="00FD6EDD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31989"/>
  <w15:chartTrackingRefBased/>
  <w15:docId w15:val="{C1CB9BE0-EBCC-45BE-AE8F-C536AC8E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763919"/>
    <w:rPr>
      <w:rFonts w:eastAsia="宋体"/>
      <w:kern w:val="0"/>
      <w:sz w:val="22"/>
      <w:szCs w:val="28"/>
      <w:lang w:val="en-GB"/>
    </w:rPr>
  </w:style>
  <w:style w:type="paragraph" w:styleId="Heading1">
    <w:name w:val="heading 1"/>
    <w:basedOn w:val="Normal"/>
    <w:next w:val="BodyText"/>
    <w:link w:val="Heading1Char"/>
    <w:qFormat/>
    <w:rsid w:val="00A11743"/>
    <w:pPr>
      <w:keepNext/>
      <w:numPr>
        <w:numId w:val="21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link w:val="Heading2Char"/>
    <w:qFormat/>
    <w:rsid w:val="00A11743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link w:val="Heading3Char"/>
    <w:qFormat/>
    <w:rsid w:val="00A11743"/>
    <w:pPr>
      <w:numPr>
        <w:ilvl w:val="2"/>
        <w:numId w:val="21"/>
      </w:numPr>
      <w:spacing w:after="180" w:line="260" w:lineRule="atLeast"/>
      <w:outlineLvl w:val="2"/>
    </w:pPr>
  </w:style>
  <w:style w:type="paragraph" w:styleId="Heading4">
    <w:name w:val="heading 4"/>
    <w:basedOn w:val="Normal"/>
    <w:link w:val="Heading4Char"/>
    <w:qFormat/>
    <w:rsid w:val="00A11743"/>
    <w:pPr>
      <w:numPr>
        <w:ilvl w:val="3"/>
        <w:numId w:val="21"/>
      </w:numPr>
      <w:spacing w:after="180" w:line="260" w:lineRule="atLeast"/>
      <w:outlineLvl w:val="3"/>
    </w:pPr>
  </w:style>
  <w:style w:type="paragraph" w:styleId="Heading5">
    <w:name w:val="heading 5"/>
    <w:basedOn w:val="Normal"/>
    <w:link w:val="Heading5Char"/>
    <w:qFormat/>
    <w:rsid w:val="00A11743"/>
    <w:pPr>
      <w:numPr>
        <w:ilvl w:val="4"/>
        <w:numId w:val="21"/>
      </w:numPr>
      <w:spacing w:after="180" w:line="260" w:lineRule="atLeast"/>
      <w:outlineLvl w:val="4"/>
    </w:pPr>
  </w:style>
  <w:style w:type="paragraph" w:styleId="Heading6">
    <w:name w:val="heading 6"/>
    <w:basedOn w:val="Normal"/>
    <w:link w:val="Heading6Char"/>
    <w:qFormat/>
    <w:rsid w:val="00A11743"/>
    <w:pPr>
      <w:numPr>
        <w:ilvl w:val="5"/>
        <w:numId w:val="21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A11743"/>
    <w:pPr>
      <w:numPr>
        <w:ilvl w:val="6"/>
        <w:numId w:val="21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uiPriority w:val="8"/>
    <w:qFormat/>
    <w:rsid w:val="00A11743"/>
    <w:pPr>
      <w:spacing w:after="180" w:line="260" w:lineRule="atLeast"/>
    </w:pPr>
  </w:style>
  <w:style w:type="paragraph" w:customStyle="1" w:styleId="Bullet2">
    <w:name w:val="Bullet 2"/>
    <w:basedOn w:val="Normal"/>
    <w:uiPriority w:val="8"/>
    <w:qFormat/>
    <w:rsid w:val="00A11743"/>
    <w:pPr>
      <w:spacing w:line="260" w:lineRule="atLeast"/>
    </w:pPr>
  </w:style>
  <w:style w:type="numbering" w:customStyle="1" w:styleId="BMDefinitions">
    <w:name w:val="B&amp;M Definitions"/>
    <w:uiPriority w:val="99"/>
    <w:rsid w:val="00A11743"/>
    <w:pPr>
      <w:numPr>
        <w:numId w:val="3"/>
      </w:numPr>
    </w:pPr>
  </w:style>
  <w:style w:type="numbering" w:customStyle="1" w:styleId="BMHeadings">
    <w:name w:val="B&amp;M Headings"/>
    <w:uiPriority w:val="99"/>
    <w:rsid w:val="00A11743"/>
    <w:pPr>
      <w:numPr>
        <w:numId w:val="4"/>
      </w:numPr>
    </w:pPr>
  </w:style>
  <w:style w:type="numbering" w:customStyle="1" w:styleId="BMListNumbers">
    <w:name w:val="B&amp;M List Numbers"/>
    <w:uiPriority w:val="99"/>
    <w:rsid w:val="00A11743"/>
    <w:pPr>
      <w:numPr>
        <w:numId w:val="5"/>
      </w:numPr>
    </w:pPr>
  </w:style>
  <w:style w:type="numbering" w:customStyle="1" w:styleId="BMSchedules">
    <w:name w:val="B&amp;M Schedules"/>
    <w:uiPriority w:val="99"/>
    <w:rsid w:val="00A11743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A11743"/>
    <w:rPr>
      <w:rFonts w:ascii="Arial" w:eastAsia="PMingLiU" w:hAnsi="Arial"/>
      <w:noProof/>
      <w:kern w:val="0"/>
      <w:sz w:val="16"/>
      <w:lang w:val="en-AU"/>
    </w:rPr>
  </w:style>
  <w:style w:type="character" w:customStyle="1" w:styleId="BMKAddressInfoChar">
    <w:name w:val="BMK Address Info Char"/>
    <w:link w:val="BMKAddressInfo"/>
    <w:semiHidden/>
    <w:rsid w:val="00A11743"/>
    <w:rPr>
      <w:rFonts w:ascii="Arial" w:eastAsia="PMingLiU" w:hAnsi="Arial"/>
      <w:noProof/>
      <w:kern w:val="0"/>
      <w:sz w:val="16"/>
      <w:lang w:val="en-AU"/>
    </w:rPr>
  </w:style>
  <w:style w:type="paragraph" w:customStyle="1" w:styleId="BMKAddress1">
    <w:name w:val="BMK Address1"/>
    <w:basedOn w:val="Normal"/>
    <w:semiHidden/>
    <w:rsid w:val="00A11743"/>
    <w:pPr>
      <w:spacing w:line="260" w:lineRule="atLeast"/>
    </w:pPr>
  </w:style>
  <w:style w:type="paragraph" w:customStyle="1" w:styleId="BMKAttention">
    <w:name w:val="BMK Attention"/>
    <w:basedOn w:val="Normal"/>
    <w:semiHidden/>
    <w:rsid w:val="00A11743"/>
    <w:pPr>
      <w:spacing w:line="260" w:lineRule="atLeast"/>
    </w:pPr>
  </w:style>
  <w:style w:type="paragraph" w:customStyle="1" w:styleId="BMKCities">
    <w:name w:val="BMK Cities"/>
    <w:semiHidden/>
    <w:rsid w:val="00A11743"/>
    <w:rPr>
      <w:rFonts w:ascii="Arial" w:eastAsia="PMingLiU" w:hAnsi="Arial"/>
      <w:noProof/>
      <w:spacing w:val="2"/>
      <w:kern w:val="0"/>
      <w:sz w:val="11"/>
      <w:szCs w:val="11"/>
      <w:lang w:val="en-AU"/>
    </w:rPr>
  </w:style>
  <w:style w:type="paragraph" w:customStyle="1" w:styleId="BMKCitiesSpace">
    <w:name w:val="BMK Cities Space"/>
    <w:basedOn w:val="BMKCities"/>
    <w:semiHidden/>
    <w:rsid w:val="00A11743"/>
  </w:style>
  <w:style w:type="paragraph" w:customStyle="1" w:styleId="BMKDeliveryPhrase">
    <w:name w:val="BMK Delivery Phrase"/>
    <w:basedOn w:val="BMKAddressInfo"/>
    <w:semiHidden/>
    <w:rsid w:val="00A11743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al"/>
    <w:next w:val="Normal"/>
    <w:semiHidden/>
    <w:rsid w:val="00A11743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al"/>
    <w:next w:val="Normal"/>
    <w:semiHidden/>
    <w:rsid w:val="00A11743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al"/>
    <w:semiHidden/>
    <w:rsid w:val="00A11743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"/>
    <w:semiHidden/>
    <w:rsid w:val="00A11743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A11743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A11743"/>
    <w:rPr>
      <w:rFonts w:ascii="Arial" w:eastAsia="PMingLiU" w:hAnsi="Arial"/>
      <w:b/>
      <w:bCs/>
      <w:noProof/>
      <w:kern w:val="0"/>
      <w:sz w:val="16"/>
      <w:lang w:val="en-AU"/>
    </w:rPr>
  </w:style>
  <w:style w:type="paragraph" w:customStyle="1" w:styleId="BMKMultiOffice">
    <w:name w:val="BMK Multi Office"/>
    <w:basedOn w:val="Normal"/>
    <w:next w:val="Normal"/>
    <w:semiHidden/>
    <w:rsid w:val="00A11743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A11743"/>
  </w:style>
  <w:style w:type="paragraph" w:customStyle="1" w:styleId="BMKPartnerList">
    <w:name w:val="BMK Partner List"/>
    <w:basedOn w:val="BMKCities"/>
    <w:semiHidden/>
    <w:rsid w:val="00A11743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Footer"/>
    <w:link w:val="BMKPrivacyTextChar"/>
    <w:semiHidden/>
    <w:rsid w:val="00A11743"/>
    <w:rPr>
      <w:szCs w:val="22"/>
    </w:rPr>
  </w:style>
  <w:style w:type="character" w:customStyle="1" w:styleId="BMKPrivacyTextChar">
    <w:name w:val="BMK Privacy Text Char"/>
    <w:link w:val="BMKPrivacyText"/>
    <w:semiHidden/>
    <w:rsid w:val="00A11743"/>
    <w:rPr>
      <w:rFonts w:asciiTheme="majorHAnsi" w:eastAsiaTheme="majorEastAsia" w:hAnsiTheme="majorHAnsi" w:cstheme="majorHAnsi"/>
      <w:noProof/>
      <w:kern w:val="0"/>
      <w:sz w:val="16"/>
      <w:lang w:val="en-AU"/>
    </w:rPr>
  </w:style>
  <w:style w:type="paragraph" w:styleId="Footer">
    <w:name w:val="footer"/>
    <w:basedOn w:val="Normal"/>
    <w:link w:val="FooterChar"/>
    <w:uiPriority w:val="99"/>
    <w:rsid w:val="00A11743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FooterChar">
    <w:name w:val="Footer Char"/>
    <w:link w:val="Footer"/>
    <w:uiPriority w:val="99"/>
    <w:rsid w:val="00A11743"/>
    <w:rPr>
      <w:rFonts w:asciiTheme="majorHAnsi" w:eastAsiaTheme="majorEastAsia" w:hAnsiTheme="majorHAnsi" w:cstheme="majorHAnsi"/>
      <w:noProof/>
      <w:kern w:val="0"/>
      <w:sz w:val="16"/>
      <w:lang w:val="en-AU"/>
    </w:rPr>
  </w:style>
  <w:style w:type="paragraph" w:customStyle="1" w:styleId="BMKPrivacyTitle">
    <w:name w:val="BMK Privacy Title"/>
    <w:basedOn w:val="Normal"/>
    <w:semiHidden/>
    <w:rsid w:val="00A11743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A11743"/>
    <w:pPr>
      <w:spacing w:after="200" w:line="170" w:lineRule="atLeast"/>
    </w:pPr>
    <w:rPr>
      <w:rFonts w:asciiTheme="majorHAnsi" w:eastAsia="PMingLiU" w:hAnsiTheme="majorHAnsi"/>
      <w:caps/>
      <w:noProof/>
      <w:kern w:val="0"/>
      <w:sz w:val="13"/>
      <w:szCs w:val="13"/>
      <w:lang w:val="en-AU"/>
    </w:rPr>
  </w:style>
  <w:style w:type="paragraph" w:customStyle="1" w:styleId="BMKRecipient1">
    <w:name w:val="BMK Recipient1"/>
    <w:basedOn w:val="Normal"/>
    <w:semiHidden/>
    <w:rsid w:val="00A11743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A11743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A11743"/>
    <w:rPr>
      <w:rFonts w:ascii="Arial Black" w:hAnsi="Arial Black"/>
      <w:szCs w:val="24"/>
    </w:rPr>
  </w:style>
  <w:style w:type="paragraph" w:customStyle="1" w:styleId="BMKSalutation">
    <w:name w:val="BMK Salutation"/>
    <w:basedOn w:val="Normal"/>
    <w:semiHidden/>
    <w:rsid w:val="00A11743"/>
    <w:pPr>
      <w:spacing w:line="260" w:lineRule="atLeast"/>
    </w:pPr>
  </w:style>
  <w:style w:type="paragraph" w:customStyle="1" w:styleId="BMKSubject">
    <w:name w:val="BMK Subject"/>
    <w:basedOn w:val="Normal"/>
    <w:semiHidden/>
    <w:rsid w:val="00A11743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"/>
    <w:next w:val="BodyText"/>
    <w:semiHidden/>
    <w:rsid w:val="00A11743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BodyText">
    <w:name w:val="Body Text"/>
    <w:basedOn w:val="Normal"/>
    <w:link w:val="BodyTextChar"/>
    <w:uiPriority w:val="99"/>
    <w:unhideWhenUsed/>
    <w:rsid w:val="00A11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11743"/>
  </w:style>
  <w:style w:type="paragraph" w:customStyle="1" w:styleId="BMKTitle">
    <w:name w:val="BMK Title"/>
    <w:basedOn w:val="Normal"/>
    <w:next w:val="BodyText"/>
    <w:semiHidden/>
    <w:rsid w:val="00A11743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"/>
    <w:semiHidden/>
    <w:rsid w:val="00A11743"/>
    <w:pPr>
      <w:spacing w:line="260" w:lineRule="atLeast"/>
    </w:pPr>
  </w:style>
  <w:style w:type="paragraph" w:customStyle="1" w:styleId="BMKHeaderLogoSHI">
    <w:name w:val="BMKHeaderLogoSHI"/>
    <w:semiHidden/>
    <w:rsid w:val="00A11743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cstheme="minorHAnsi"/>
      <w:kern w:val="0"/>
      <w:sz w:val="22"/>
      <w:szCs w:val="24"/>
      <w:lang w:val="en-AU"/>
    </w:rPr>
  </w:style>
  <w:style w:type="character" w:customStyle="1" w:styleId="Definition">
    <w:name w:val="Definition"/>
    <w:basedOn w:val="DefaultParagraphFont"/>
    <w:uiPriority w:val="3"/>
    <w:rsid w:val="00A11743"/>
    <w:rPr>
      <w:b/>
      <w:bCs/>
      <w:i w:val="0"/>
      <w:szCs w:val="28"/>
    </w:rPr>
  </w:style>
  <w:style w:type="paragraph" w:customStyle="1" w:styleId="DefinitionParagraph">
    <w:name w:val="Definition Paragraph"/>
    <w:basedOn w:val="Normal"/>
    <w:uiPriority w:val="2"/>
    <w:rsid w:val="00A11743"/>
    <w:pPr>
      <w:numPr>
        <w:numId w:val="7"/>
      </w:numPr>
      <w:spacing w:after="180" w:line="260" w:lineRule="atLeast"/>
    </w:pPr>
  </w:style>
  <w:style w:type="character" w:customStyle="1" w:styleId="DMReference">
    <w:name w:val="DMReference"/>
    <w:basedOn w:val="FooterChar"/>
    <w:semiHidden/>
    <w:rsid w:val="00A11743"/>
    <w:rPr>
      <w:rFonts w:asciiTheme="majorHAnsi" w:eastAsiaTheme="majorEastAsia" w:hAnsiTheme="majorHAnsi" w:cstheme="majorHAnsi"/>
      <w:noProof/>
      <w:kern w:val="0"/>
      <w:sz w:val="16"/>
      <w:szCs w:val="16"/>
      <w:lang w:val="en-AU"/>
    </w:rPr>
  </w:style>
  <w:style w:type="paragraph" w:customStyle="1" w:styleId="LetterDetail">
    <w:name w:val="LetterDetail"/>
    <w:basedOn w:val="Normal"/>
    <w:semiHidden/>
    <w:rsid w:val="00A11743"/>
    <w:pPr>
      <w:spacing w:line="260" w:lineRule="atLeast"/>
    </w:pPr>
  </w:style>
  <w:style w:type="paragraph" w:customStyle="1" w:styleId="OtherContact">
    <w:name w:val="OtherContact"/>
    <w:basedOn w:val="Normal"/>
    <w:semiHidden/>
    <w:rsid w:val="00A11743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"/>
    <w:uiPriority w:val="7"/>
    <w:rsid w:val="00A11743"/>
    <w:pPr>
      <w:numPr>
        <w:numId w:val="8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Normal"/>
    <w:next w:val="BodyText"/>
    <w:uiPriority w:val="6"/>
    <w:rsid w:val="00A11743"/>
    <w:pPr>
      <w:keepNext/>
      <w:numPr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BodyText"/>
    <w:uiPriority w:val="6"/>
    <w:rsid w:val="00A11743"/>
    <w:pPr>
      <w:keepNext/>
      <w:numPr>
        <w:ilvl w:val="1"/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A11743"/>
    <w:pPr>
      <w:numPr>
        <w:ilvl w:val="2"/>
        <w:numId w:val="14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A11743"/>
    <w:pPr>
      <w:numPr>
        <w:ilvl w:val="3"/>
        <w:numId w:val="14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A11743"/>
    <w:pPr>
      <w:numPr>
        <w:ilvl w:val="4"/>
        <w:numId w:val="14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A11743"/>
    <w:pPr>
      <w:numPr>
        <w:ilvl w:val="5"/>
        <w:numId w:val="14"/>
      </w:numPr>
      <w:spacing w:after="180" w:line="260" w:lineRule="atLeast"/>
    </w:pPr>
  </w:style>
  <w:style w:type="paragraph" w:customStyle="1" w:styleId="SchSH">
    <w:name w:val="SchSH"/>
    <w:basedOn w:val="Normal"/>
    <w:next w:val="BodyText"/>
    <w:uiPriority w:val="6"/>
    <w:rsid w:val="00A11743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"/>
    <w:next w:val="BodyText"/>
    <w:uiPriority w:val="11"/>
    <w:semiHidden/>
    <w:rsid w:val="00A11743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Heading1Char">
    <w:name w:val="Heading 1 Char"/>
    <w:basedOn w:val="DefaultParagraphFont"/>
    <w:link w:val="Heading1"/>
    <w:rsid w:val="00A11743"/>
    <w:rPr>
      <w:rFonts w:asciiTheme="majorHAnsi" w:eastAsiaTheme="majorEastAsia" w:hAnsiTheme="majorHAnsi" w:cstheme="majorHAnsi"/>
      <w:b/>
      <w:bCs/>
      <w:kern w:val="0"/>
      <w:sz w:val="22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rsid w:val="00A11743"/>
    <w:rPr>
      <w:rFonts w:asciiTheme="majorHAnsi" w:eastAsiaTheme="majorEastAsia" w:hAnsiTheme="majorHAnsi" w:cstheme="majorHAnsi"/>
      <w:b/>
      <w:bCs/>
      <w:kern w:val="0"/>
      <w:sz w:val="22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A11743"/>
    <w:rPr>
      <w:kern w:val="0"/>
      <w:sz w:val="22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rsid w:val="00A11743"/>
    <w:rPr>
      <w:kern w:val="0"/>
      <w:sz w:val="22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rsid w:val="00A11743"/>
    <w:rPr>
      <w:kern w:val="0"/>
      <w:sz w:val="22"/>
      <w:szCs w:val="28"/>
      <w:lang w:val="en-AU"/>
    </w:rPr>
  </w:style>
  <w:style w:type="character" w:customStyle="1" w:styleId="Heading6Char">
    <w:name w:val="Heading 6 Char"/>
    <w:basedOn w:val="DefaultParagraphFont"/>
    <w:link w:val="Heading6"/>
    <w:rsid w:val="00A11743"/>
    <w:rPr>
      <w:kern w:val="0"/>
      <w:sz w:val="22"/>
      <w:szCs w:val="28"/>
      <w:lang w:val="en-AU"/>
    </w:rPr>
  </w:style>
  <w:style w:type="character" w:customStyle="1" w:styleId="Heading7Char">
    <w:name w:val="Heading 7 Char"/>
    <w:basedOn w:val="DefaultParagraphFont"/>
    <w:link w:val="Heading7"/>
    <w:rsid w:val="00A11743"/>
    <w:rPr>
      <w:kern w:val="0"/>
      <w:sz w:val="22"/>
      <w:szCs w:val="28"/>
      <w:lang w:val="en-AU"/>
    </w:rPr>
  </w:style>
  <w:style w:type="character" w:styleId="Hyperlink">
    <w:name w:val="Hyperlink"/>
    <w:uiPriority w:val="6"/>
    <w:semiHidden/>
    <w:rsid w:val="00A11743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A11743"/>
    <w:rPr>
      <w:color w:val="800080"/>
      <w:u w:val="single"/>
    </w:rPr>
  </w:style>
  <w:style w:type="paragraph" w:styleId="ListNumber">
    <w:name w:val="List Number"/>
    <w:basedOn w:val="Normal"/>
    <w:uiPriority w:val="7"/>
    <w:qFormat/>
    <w:rsid w:val="00A11743"/>
    <w:pPr>
      <w:numPr>
        <w:numId w:val="29"/>
      </w:numPr>
      <w:spacing w:after="180" w:line="260" w:lineRule="atLeast"/>
    </w:pPr>
  </w:style>
  <w:style w:type="paragraph" w:styleId="ListNumber2">
    <w:name w:val="List Number 2"/>
    <w:basedOn w:val="Normal"/>
    <w:uiPriority w:val="7"/>
    <w:qFormat/>
    <w:rsid w:val="00A11743"/>
    <w:pPr>
      <w:numPr>
        <w:ilvl w:val="1"/>
        <w:numId w:val="29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A11743"/>
    <w:pPr>
      <w:numPr>
        <w:ilvl w:val="2"/>
        <w:numId w:val="29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A11743"/>
    <w:pPr>
      <w:numPr>
        <w:ilvl w:val="3"/>
        <w:numId w:val="29"/>
      </w:numPr>
      <w:spacing w:after="180" w:line="260" w:lineRule="atLeast"/>
    </w:pPr>
  </w:style>
  <w:style w:type="character" w:styleId="PageNumber">
    <w:name w:val="page number"/>
    <w:basedOn w:val="DefaultParagraphFont"/>
    <w:uiPriority w:val="99"/>
    <w:semiHidden/>
    <w:rsid w:val="00A11743"/>
    <w:rPr>
      <w:szCs w:val="16"/>
    </w:rPr>
  </w:style>
  <w:style w:type="table" w:styleId="TableGrid">
    <w:name w:val="Table Grid"/>
    <w:basedOn w:val="TableNormal"/>
    <w:uiPriority w:val="39"/>
    <w:qFormat/>
    <w:rsid w:val="00763919"/>
    <w:rPr>
      <w:rFonts w:eastAsia="PMingLiU"/>
      <w:kern w:val="0"/>
      <w:sz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#Listenabsatz,Bullet List,Bullet list,Bulletr List Paragraph,FooterText,List Paragraph11,List Paragraph2,List Paragraph21,Listeafsnit1,Listenabsatz1,Paragraphe de liste1,Parágrafo da Lista1,Párrafo de lista1,numbered,リスト段落1,列出段落1"/>
    <w:basedOn w:val="Normal"/>
    <w:link w:val="ListParagraphChar"/>
    <w:uiPriority w:val="34"/>
    <w:qFormat/>
    <w:rsid w:val="00763919"/>
    <w:pPr>
      <w:ind w:firstLineChars="200" w:firstLine="420"/>
    </w:pPr>
  </w:style>
  <w:style w:type="character" w:customStyle="1" w:styleId="ListParagraphChar">
    <w:name w:val="List Paragraph Char"/>
    <w:aliases w:val="#Listenabsatz Char,Bullet List Char,Bullet list Char,Bulletr List Paragraph Char,FooterText Char,List Paragraph11 Char,List Paragraph2 Char,List Paragraph21 Char,Listeafsnit1 Char,Listenabsatz1 Char,Paragraphe de liste1 Char"/>
    <w:link w:val="ListParagraph"/>
    <w:uiPriority w:val="34"/>
    <w:qFormat/>
    <w:locked/>
    <w:rsid w:val="00763919"/>
    <w:rPr>
      <w:rFonts w:eastAsia="宋体"/>
      <w:kern w:val="0"/>
      <w:sz w:val="22"/>
      <w:szCs w:val="2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4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416D1"/>
    <w:rPr>
      <w:rFonts w:eastAsia="宋体"/>
      <w:kern w:val="0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736E7"/>
    <w:rPr>
      <w:rFonts w:eastAsia="宋体"/>
      <w:kern w:val="0"/>
      <w:sz w:val="22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736E7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8736E7"/>
  </w:style>
  <w:style w:type="character" w:customStyle="1" w:styleId="CommentTextChar">
    <w:name w:val="Comment Text Char"/>
    <w:basedOn w:val="DefaultParagraphFont"/>
    <w:link w:val="CommentText"/>
    <w:uiPriority w:val="99"/>
    <w:rsid w:val="008736E7"/>
    <w:rPr>
      <w:rFonts w:eastAsia="宋体"/>
      <w:kern w:val="0"/>
      <w:sz w:val="22"/>
      <w:szCs w:val="2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6E7"/>
    <w:rPr>
      <w:rFonts w:eastAsia="宋体"/>
      <w:b/>
      <w:bCs/>
      <w:kern w:val="0"/>
      <w:sz w:val="22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583</Characters>
  <Application>Microsoft Office Word</Application>
  <DocSecurity>0</DocSecurity>
  <Lines>53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 McKenzie FenXun</dc:creator>
  <cp:keywords/>
  <dc:description/>
  <cp:lastModifiedBy>Baker McKenzie FenXun</cp:lastModifiedBy>
  <cp:revision>17</cp:revision>
  <dcterms:created xsi:type="dcterms:W3CDTF">2023-10-27T06:55:00Z</dcterms:created>
  <dcterms:modified xsi:type="dcterms:W3CDTF">2023-11-09T08:41:00Z</dcterms:modified>
</cp:coreProperties>
</file>