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90"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90"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90"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90"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90"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〕6-17号</w:t>
      </w:r>
    </w:p>
    <w:p>
      <w:pPr>
        <w:keepNext w:val="0"/>
        <w:keepLines w:val="0"/>
        <w:pageBreakBefore w:val="0"/>
        <w:widowControl w:val="0"/>
        <w:kinsoku/>
        <w:wordWrap/>
        <w:overflowPunct w:val="0"/>
        <w:topLinePunct w:val="0"/>
        <w:autoSpaceDE/>
        <w:autoSpaceDN/>
        <w:bidi w:val="0"/>
        <w:spacing w:line="590"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90"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当事人：焦作市鸿大二手车交易市场有限公司；</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统一社会信用代码：91410800MA4814N39W；</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住所：焦作市马村区马村街道建设东路4496号（楼前、楼后、2号楼2101、2102、2103房间及二楼）；</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机构类型：有限责任公司（自然人独资）；</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经营范围：二手车交易服务；市场管理服务；房屋租赁服务。</w:t>
      </w:r>
    </w:p>
    <w:p>
      <w:pPr>
        <w:keepNext w:val="0"/>
        <w:keepLines w:val="0"/>
        <w:pageBreakBefore w:val="0"/>
        <w:widowControl w:val="0"/>
        <w:kinsoku/>
        <w:wordWrap/>
        <w:overflowPunct w:val="0"/>
        <w:topLinePunct w:val="0"/>
        <w:autoSpaceDE/>
        <w:autoSpaceDN/>
        <w:bidi w:val="0"/>
        <w:adjustRightInd w:val="0"/>
        <w:spacing w:line="590"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90"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当事人参与达成并实施分割销售市场的垄断协议。</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当事人开业之前，在协会的组织下，恒桥、安驰、东城、启汇、通大、警源、富捷、源通、瑞轩、天赐、路安、路通等12家公司达成并实施了固定或者变更商品价格、分割销售市场的协议，执行趋同的二手车交易服务收费价格。2022年上半年，12家公司协同维持的上述协议，因当事人、鑫丰、盛博、顺风、优信、德聚等公司的开业而被迫中断执行。为拉拢当事人等新开业公司加入协议，协会多次采取会议、走访以及其他形式与当事人等各公司商讨如何继续协同。2022年8月1日协会组织会议，达成了将二手车交易服务费统一变更至公示价格的协议。</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当事人虽未参会但是明确</w:t>
      </w:r>
      <w:r>
        <w:rPr>
          <w:rFonts w:hint="eastAsia" w:ascii="宋体" w:hAnsi="宋体" w:eastAsia="仿宋_GB2312" w:cs="仿宋"/>
          <w:color w:val="000000" w:themeColor="text1"/>
          <w:sz w:val="32"/>
          <w:szCs w:val="32"/>
        </w:rPr>
        <w:t>表态会服从协会安排、执行新价格</w:t>
      </w:r>
      <w:r>
        <w:rPr>
          <w:rFonts w:hint="eastAsia" w:ascii="宋体" w:hAnsi="宋体" w:eastAsia="仿宋_GB2312" w:cs="仿宋_GB2312"/>
          <w:color w:val="000000" w:themeColor="text1"/>
          <w:sz w:val="32"/>
          <w:szCs w:val="32"/>
        </w:rPr>
        <w:t>，并按照协议约定自2022年8月1日起以公示价格收取二手车交易服务费。</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w:t>
      </w:r>
      <w:r>
        <w:rPr>
          <w:rFonts w:hint="eastAsia" w:ascii="宋体" w:hAnsi="宋体" w:eastAsia="仿宋_GB2312" w:cs="仿宋_GB2312"/>
          <w:color w:val="auto"/>
          <w:sz w:val="32"/>
          <w:szCs w:val="32"/>
          <w:highlight w:val="none"/>
          <w:u w:val="none"/>
          <w:lang w:val="en-US" w:eastAsia="zh-CN"/>
        </w:rPr>
        <w:t>72,940.60</w:t>
      </w:r>
      <w:r>
        <w:rPr>
          <w:rFonts w:hint="eastAsia" w:ascii="宋体" w:hAnsi="宋体" w:eastAsia="仿宋" w:cs="仿宋"/>
          <w:color w:val="000000" w:themeColor="text1"/>
          <w:kern w:val="0"/>
          <w:sz w:val="32"/>
          <w:szCs w:val="32"/>
        </w:rPr>
        <w:t>元</w:t>
      </w:r>
      <w:r>
        <w:rPr>
          <w:rFonts w:hint="eastAsia" w:ascii="宋体" w:hAnsi="宋体" w:eastAsia="仿宋_GB2312" w:cs="仿宋"/>
          <w:color w:val="000000" w:themeColor="text1"/>
          <w:sz w:val="32"/>
          <w:szCs w:val="32"/>
        </w:rPr>
        <w:t>。</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第二组证据：当事人法定代表人询问笔录以及多家公司公示的二手车交易服务费标准，证明当事人与其他公司所执行的公示价格趋同。</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第三组证据：协会第二届会员大会签到表及会议纪要，当事人法定代表人与协会相关负责人微信聊天记录、通话记录，证明当事人与协会的沟通联络。</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第四组证据：当事人2022年7月-2022年8月销售台账，证明当事人实施固定或者变更商品价格的事实。</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第五组证据：当事人法定代表人、协会相关负责人的询问笔录，当事证明当事人参与达成并实施固定或者变更商品价格的事实。</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项：“禁止具有竞争关系的经营者达成下列垄断协议：（一）固定或者变更商品价格”之规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计算其实施垄断行为存续期间因该行为实际多得的收入或减少的支出，因此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w:t>
      </w:r>
      <w:r>
        <w:rPr>
          <w:rFonts w:hint="eastAsia" w:ascii="宋体" w:hAnsi="宋体" w:eastAsia="仿宋_GB2312" w:cs="仿宋_GB2312"/>
          <w:color w:val="auto"/>
          <w:sz w:val="32"/>
          <w:szCs w:val="32"/>
          <w:highlight w:val="none"/>
          <w:u w:val="none"/>
          <w:lang w:val="en-US" w:eastAsia="zh-CN"/>
        </w:rPr>
        <w:t>处2021年度销售额72,940.60元2%的罚款，计1,458.81元（大写：壹仟肆佰伍拾捌元捌角壹分）</w:t>
      </w:r>
      <w:r>
        <w:rPr>
          <w:rFonts w:hint="eastAsia" w:ascii="宋体" w:hAnsi="宋体" w:eastAsia="仿宋_GB2312" w:cs="仿宋_GB2312"/>
          <w:color w:val="000000" w:themeColor="text1"/>
          <w:sz w:val="32"/>
          <w:szCs w:val="32"/>
        </w:rPr>
        <w:t>。</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90"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90"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90"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3"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2"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C936AC"/>
    <w:rsid w:val="000C773B"/>
    <w:rsid w:val="0057573F"/>
    <w:rsid w:val="007411F1"/>
    <w:rsid w:val="00B24475"/>
    <w:rsid w:val="00C9253F"/>
    <w:rsid w:val="00C936AC"/>
    <w:rsid w:val="02FA199F"/>
    <w:rsid w:val="24B27FBC"/>
    <w:rsid w:val="57B759D2"/>
    <w:rsid w:val="584A382D"/>
    <w:rsid w:val="5DA71F7F"/>
    <w:rsid w:val="5E9D31C4"/>
    <w:rsid w:val="6BF54D96"/>
    <w:rsid w:val="7F7C7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semiHidden/>
    <w:unhideWhenUsed/>
    <w:qFormat/>
    <w:uiPriority w:val="99"/>
    <w:pPr>
      <w:ind w:left="420" w:leftChars="200"/>
    </w:pPr>
  </w:style>
  <w:style w:type="paragraph" w:styleId="4">
    <w:name w:val="footer"/>
    <w:basedOn w:val="1"/>
    <w:link w:val="9"/>
    <w:unhideWhenUsed/>
    <w:qFormat/>
    <w:uiPriority w:val="0"/>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412</Words>
  <Characters>2353</Characters>
  <Lines>19</Lines>
  <Paragraphs>5</Paragraphs>
  <TotalTime>0</TotalTime>
  <ScaleCrop>false</ScaleCrop>
  <LinksUpToDate>false</LinksUpToDate>
  <CharactersWithSpaces>2760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2023-12-17T20:20:00Z</dcterms:created>
  <dc:creator>HuaWei</dc:creator>
  <cp:lastModifiedBy>lhq</cp:lastModifiedBy>
  <dcterms:modified xsi:type="dcterms:W3CDTF">2024-01-05T02:47:15Z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919456BF14A84A57AE65CD40B9ADF884_12</vt:lpwstr>
  </property>
</Properties>
</file>