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5" w:rsidRDefault="00466CD5" w:rsidP="00466CD5">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466CD5" w:rsidRPr="00466CD5" w:rsidRDefault="00466CD5" w:rsidP="00466CD5">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466CD5">
        <w:rPr>
          <w:rFonts w:ascii="黑体" w:eastAsia="黑体" w:hAnsi="黑体" w:hint="eastAsia"/>
          <w:b/>
          <w:color w:val="333333"/>
          <w:sz w:val="36"/>
          <w:szCs w:val="36"/>
        </w:rPr>
        <w:t>市场监督管理总局印发《关于规范市场监督管理行政处罚裁量权的指导意见》的通知</w:t>
      </w:r>
    </w:p>
    <w:p w:rsidR="00466CD5" w:rsidRDefault="00466CD5" w:rsidP="00466CD5">
      <w:pPr>
        <w:pStyle w:val="gztz"/>
        <w:shd w:val="clear" w:color="auto" w:fill="FFFFFF"/>
        <w:spacing w:before="0" w:beforeAutospacing="0" w:after="0" w:afterAutospacing="0" w:line="540" w:lineRule="atLeast"/>
        <w:jc w:val="center"/>
        <w:rPr>
          <w:rFonts w:hint="eastAsia"/>
          <w:color w:val="333333"/>
        </w:rPr>
      </w:pPr>
    </w:p>
    <w:p w:rsidR="00466CD5" w:rsidRDefault="00466CD5" w:rsidP="00466CD5">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国市监法规〔2022〕2号</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各省、自治区、直辖市和新疆生产建设兵团市场监管局（厅、委），总局各司局：</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《关于规范市场监督管理行政处罚裁量权的指导意见》已经2022年9月28日市场监管总局第13次局务会议通过，现印发给你们，请结合实际认真贯彻落实。</w:t>
      </w:r>
    </w:p>
    <w:p w:rsidR="00466CD5" w:rsidRDefault="00466CD5" w:rsidP="00466CD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466CD5" w:rsidRDefault="00466CD5" w:rsidP="00466CD5">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2022年10月8日</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720" w:lineRule="atLeast"/>
        <w:jc w:val="center"/>
        <w:rPr>
          <w:rFonts w:ascii="黑体" w:eastAsia="黑体" w:hAnsi="黑体" w:hint="eastAsia"/>
          <w:color w:val="333333"/>
          <w:sz w:val="36"/>
          <w:szCs w:val="36"/>
        </w:rPr>
      </w:pPr>
      <w:r>
        <w:rPr>
          <w:rStyle w:val="ab"/>
          <w:rFonts w:ascii="黑体" w:eastAsia="黑体" w:hAnsi="黑体" w:hint="eastAsia"/>
          <w:color w:val="333333"/>
          <w:sz w:val="36"/>
          <w:szCs w:val="36"/>
        </w:rPr>
        <w:t>关于规范市场监督管理</w:t>
      </w:r>
    </w:p>
    <w:p w:rsidR="00466CD5" w:rsidRDefault="00466CD5" w:rsidP="00466CD5">
      <w:pPr>
        <w:pStyle w:val="aa"/>
        <w:shd w:val="clear" w:color="auto" w:fill="FFFFFF"/>
        <w:spacing w:before="0" w:beforeAutospacing="0" w:after="0" w:afterAutospacing="0" w:line="720" w:lineRule="atLeast"/>
        <w:jc w:val="center"/>
        <w:rPr>
          <w:rFonts w:ascii="黑体" w:eastAsia="黑体" w:hAnsi="黑体" w:hint="eastAsia"/>
          <w:color w:val="333333"/>
          <w:sz w:val="36"/>
          <w:szCs w:val="36"/>
        </w:rPr>
      </w:pPr>
      <w:r>
        <w:rPr>
          <w:rStyle w:val="ab"/>
          <w:rFonts w:ascii="黑体" w:eastAsia="黑体" w:hAnsi="黑体" w:hint="eastAsia"/>
          <w:color w:val="333333"/>
          <w:sz w:val="36"/>
          <w:szCs w:val="36"/>
        </w:rPr>
        <w:t>行政处罚裁量权的指导意见</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Style w:val="ab"/>
          <w:rFonts w:hint="eastAsia"/>
          <w:color w:val="333333"/>
          <w:sz w:val="32"/>
          <w:szCs w:val="32"/>
        </w:rPr>
        <w:t> </w:t>
      </w:r>
      <w:r>
        <w:rPr>
          <w:rFonts w:ascii="仿宋" w:eastAsia="仿宋" w:hAnsi="仿宋" w:hint="eastAsia"/>
          <w:color w:val="333333"/>
          <w:sz w:val="32"/>
          <w:szCs w:val="32"/>
        </w:rPr>
        <w:t>为了规范市场监督管理行政处罚行为，保障市场监管部门依法行使行政处罚裁量权，保护自然人、法人和其他组织的合法权益，根据《中华人民共和国行政处罚法》等法律、法规、规章和国家有关规定，结合市场监管工作实际，制定本意见。</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 xml:space="preserve"> 本意见所称行政处罚裁量权，是指各级市场监管部门在实施行政处罚时，根据法律、法规、规章的规定，综合考虑违法行为的事实、性质、情节、社会危害程度以及当事人主观过错等因素，决定是否给予行政处罚、给予行政处罚的种类和幅度的权限。</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市场监管部门行使行政处罚裁量权，应当坚持以下原则：</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（一）合法原则。依据法定权限，符合法律、法规、规章规定的裁量条件、处罚种类和幅度，遵守法定程序。</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（二）过罚相当原则。以事实为依据，处罚的种类和幅度与违法行为的事实、性质、情节、社会危害程度等相当。</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（三）公平公正原则。对违法事实、性质、情节、社会危害程度等基本相同的违法行为实施行政处罚时，适用的法律依据、处罚种类和幅度基本一致。</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（四）处罚和教育相结合原则。兼顾纠正违法行为和教育当事人，引导当事人自觉守法。</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（五）综合裁量原则。综合考虑个案情况，兼顾地区经济社会发展状况、当事人主客观情况等相关因素，实现政治效果、社会效果、法律效果的统一。</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省级和设区的市级市场监管部门可以参照本意见，结合地区实际制定行政处罚裁量权基准。</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县级市场监管部门可以在法定范围内，对上级市场监管部门制定的行政处罚裁量权基准适用的标准、条件、种类、幅度、方式、时限予以合理细化量化。</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Style w:val="ab"/>
          <w:rFonts w:hint="eastAsia"/>
          <w:color w:val="333333"/>
          <w:sz w:val="32"/>
          <w:szCs w:val="32"/>
        </w:rPr>
        <w:t> </w:t>
      </w:r>
      <w:r>
        <w:rPr>
          <w:rFonts w:ascii="仿宋" w:eastAsia="仿宋" w:hAnsi="仿宋" w:hint="eastAsia"/>
          <w:color w:val="333333"/>
          <w:sz w:val="32"/>
          <w:szCs w:val="32"/>
        </w:rPr>
        <w:t>对同一行政处罚事项，上级市场监管部门已经制定行政处罚裁量权基准的，下级市场监管部门原则上应当直接适用；如下级市场监管部门不能直接适用，可以结合地区经济社会发展状况，在法律、法规、规章规定的行政处罚裁量权范围内进行合理细化量化，但不能超出上级市场监管部门划定的阶次或者幅度。</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下级市场监管部门制定的行政处罚裁量权基准与上级市场监管部门制定的行政处罚裁量权基准冲突的，应当适用上级市场监管部门制定的行政处罚裁量权基准。</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行政处罚裁量权基准应当包括违法行为、法定依据、裁量阶次、适用条件和具体标准等内容。</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制定行政处罚裁量权基准，应当对以下内容进行细化和量化：</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（一）法律、法规、规章规定可以选择决定是否给予行政处罚的，明确是否给予处罚的具体情形；</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（二）法律、法规、规章规定可以选择行政处罚种类的，明确适用不同处罚种类的具体情形；</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（三）法律、法规、规章规定可以选择行政处罚幅度的，明确划分易于操作的裁量阶次，并确定适用不同阶次的具体情形；</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（四）法律、法规、规章规定可以单处或者并处行政处罚的，明确规定单处或者并处行政处罚的具体情形；</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（五）需要在法定处罚种类或者幅度以下减轻行政处罚的，应当在严格评估后明确具体情形、适用条件和处罚标准。</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市场监管部门实施行政处罚应当以法律、法规、规章为依据。有行政处罚裁量权基准的，应当在行政处罚决定书中对行政处罚裁量权基准的适用情况予以明确。</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第八条</w:t>
      </w:r>
      <w:r>
        <w:rPr>
          <w:rFonts w:hint="eastAsia"/>
          <w:color w:val="333333"/>
          <w:sz w:val="32"/>
          <w:szCs w:val="32"/>
        </w:rPr>
        <w:t> </w:t>
      </w:r>
      <w:r>
        <w:rPr>
          <w:rFonts w:ascii="仿宋" w:eastAsia="仿宋" w:hAnsi="仿宋" w:hint="eastAsia"/>
          <w:color w:val="333333"/>
          <w:sz w:val="32"/>
          <w:szCs w:val="32"/>
        </w:rPr>
        <w:t>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适用上级市场监管部门制定的行政处罚裁量权基准可能出现前款情形的，逐级报请该基准制定部门批准后，可以调整适用。</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Style w:val="ab"/>
          <w:rFonts w:hint="eastAsia"/>
          <w:color w:val="333333"/>
          <w:sz w:val="32"/>
          <w:szCs w:val="32"/>
        </w:rPr>
        <w:t> </w:t>
      </w:r>
      <w:r>
        <w:rPr>
          <w:rFonts w:ascii="仿宋" w:eastAsia="仿宋" w:hAnsi="仿宋" w:hint="eastAsia"/>
          <w:color w:val="333333"/>
          <w:sz w:val="32"/>
          <w:szCs w:val="32"/>
        </w:rPr>
        <w:t>建立行政处罚裁量权基准动态调整机制，行政处罚裁量权基准所依据的法律、法规、规章作出修改，或者客观情况发生重大变化的，及时进行调整。</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本意见中下列用语的含义如下：</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（一）不予行政处罚是指因法定原因对特定违法行为不给予行政处罚。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（三）从轻行政处罚是指在依法可以选择的处罚种类和处罚幅度内，适用较轻、较少的处罚种类或者较低的处罚幅度。其中，</w:t>
      </w:r>
      <w:r>
        <w:rPr>
          <w:rFonts w:ascii="仿宋" w:eastAsia="仿宋" w:hAnsi="仿宋" w:hint="eastAsia"/>
          <w:color w:val="333333"/>
          <w:sz w:val="32"/>
          <w:szCs w:val="32"/>
        </w:rPr>
        <w:lastRenderedPageBreak/>
        <w:t>罚款的数额应当在从最低限到最高限这一幅度中较低的30%部分。</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（四）从重行政处罚是指在依法可以选择的处罚种类和处罚幅度内，适用较重、较多的处罚种类或者较高的处罚幅度。其中，罚款的数额应当在从最低限到最高限这一幅度中较高的30%部分。</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有下列情形之一的，应当依法不予行政处罚：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（一）不满十四周岁的未成年人有违法行为的；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（二）精神病人、智力残疾人在不能辨认或者不能控制自己行为时有违法行为的；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（三）违法行为轻微并及时改正，没有造成危害后果的；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（四）除法律、行政法规另有规定外，当事人有证据足以证明没有主观过错的；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（五）除法律另有规定外，涉及公民生命健康安全、金融安全且有危害后果的违法行为在五年内未被发现的，其他违法行为在二年内未被发现的；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（六）其他依法应当不予行政处罚的。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初次违法且危害后果轻微并及时改正的，可以不予行政处罚。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市场监管部门可以依照有关规定制定轻微违法行为依法免予处罚清单并进行动态调整。</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有下列情形之一的，应当依法从轻或者减轻行政处罚：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（一）已满十四周岁不满十八周岁的未成年人有违法行为的；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（二）主动消除或者减轻违法行为危害后果的；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（三）受他人胁迫或者诱骗实施违法行为的；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（四）主动供述市场监管部门尚未掌握的违法行为的；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（五）配合市场监管部门查处违法行为有立功表现的，包括但不限于当事人揭发市场监管领域其他重大违法行为或者提供查处市场监管领域其他重大违法行为的关键线索或证据，并经查证属实的；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（六）其他依法应当从轻或者减轻行政处罚的。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有下列情形之一的，可以依法从轻或者减轻行政处罚：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（一）尚未完全丧失辨认或者控制自己行为能力的精神病人、智力残疾人有违法行为的；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（二）积极配合市场监管部门调查并主动提供证据材料的；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（三）违法行为轻微，社会危害性较小的；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（四）在共同违法行为中起次要或者辅助作用的；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（五）当事人因残疾或者重大疾病等原因生活确有困难的；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（六）其他依法可以从轻或者减轻行政处罚的。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有下列情形之一的，应当依法从重行政处罚：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（一）在重大传染病疫情等突发事件期间，有违反突发事件应对措施行为的；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（二）其他依法应当从重行政处罚的。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有下列情形之一的，可以依法从重行政处罚：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（一）违法行为造成他人人身伤亡或者重大财产损失等严重危害后果的；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（二）教唆、胁迫、诱骗他人实施违法行为的；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（三）因同一性质的违法行为受过刑事处罚，或者一年内因同一性质的违法行为受过行政处罚的；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（四）阻碍或者拒不配合行政执法人员依法执行职务或者对行政执法人员打击报复的；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（五）隐藏、转移、损毁、使用、处置市场监管部门依法查封、扣押的财物或者先行登记保存的证据的；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（六）伪造、隐匿、毁灭证据的；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（七）其他依法可以从重行政处罚的。</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当事人因前款第四至六项所涉行为已被行政处罚的，该行为不再作为从重行政处罚情节。</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当事人既有从轻或者减轻行政处罚情节，又有从重行政处罚情节的，市场监管部门应当结合案件情况综合考虑后作出裁量决定。</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市场监管部门制定的行政处罚裁量权基准应当主动向社会公开。</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市场监管部门应当按照《市场监督管理执法监督暂行规定》（市场监管总局令第22号）的要求，加强对行政处罚裁量权基准制度执行情况的监督检查。</w:t>
      </w:r>
    </w:p>
    <w:p w:rsidR="00466CD5" w:rsidRDefault="00466CD5" w:rsidP="00466CD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本意见自发布之日起实施。《市场监管总局关于规范市场监督管理行政处罚裁量权的指导意见》（国市监法〔2019〕244号）同时废止。</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62" w:rsidRDefault="00857662">
      <w:r>
        <w:separator/>
      </w:r>
    </w:p>
  </w:endnote>
  <w:endnote w:type="continuationSeparator" w:id="0">
    <w:p w:rsidR="00857662" w:rsidRDefault="0085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66CD5">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66CD5">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62" w:rsidRDefault="00857662">
      <w:r>
        <w:separator/>
      </w:r>
    </w:p>
  </w:footnote>
  <w:footnote w:type="continuationSeparator" w:id="0">
    <w:p w:rsidR="00857662" w:rsidRDefault="0085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466CD5"/>
    <w:rsid w:val="005C4BB6"/>
    <w:rsid w:val="006120F8"/>
    <w:rsid w:val="00637CAC"/>
    <w:rsid w:val="00750507"/>
    <w:rsid w:val="00840136"/>
    <w:rsid w:val="00857662"/>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66CD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66CD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934635702">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503</Words>
  <Characters>2871</Characters>
  <Application>Microsoft Office Word</Application>
  <DocSecurity>0</DocSecurity>
  <Lines>23</Lines>
  <Paragraphs>6</Paragraphs>
  <ScaleCrop>false</ScaleCrop>
  <Company>Home</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