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94" w:lineRule="exact"/>
        <w:ind w:leftChars="0"/>
        <w:jc w:val="left"/>
        <w:textAlignment w:val="auto"/>
        <w:rPr>
          <w:rFonts w:hint="default" w:ascii="Times New Roman" w:hAnsi="Times New Roman" w:eastAsia="黑体" w:cs="Times New Roman"/>
          <w:spacing w:val="-12"/>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594" w:lineRule="exact"/>
        <w:ind w:leftChars="0"/>
        <w:jc w:val="center"/>
        <w:textAlignment w:val="auto"/>
        <w:rPr>
          <w:rFonts w:hint="eastAsia" w:ascii="方正小标宋简体" w:hAnsi="方正小标宋简体" w:eastAsia="方正小标宋简体" w:cs="方正小标宋简体"/>
          <w:spacing w:val="-12"/>
          <w:sz w:val="44"/>
          <w:szCs w:val="44"/>
        </w:rPr>
      </w:pPr>
      <w:r>
        <w:rPr>
          <w:rFonts w:hint="eastAsia" w:ascii="方正小标宋简体" w:hAnsi="方正小标宋简体" w:eastAsia="方正小标宋简体" w:cs="方正小标宋简体"/>
          <w:spacing w:val="-12"/>
          <w:sz w:val="44"/>
          <w:szCs w:val="44"/>
        </w:rPr>
        <w:t>部分不合格检验项目小知识</w:t>
      </w:r>
    </w:p>
    <w:p>
      <w:pPr>
        <w:keepNext w:val="0"/>
        <w:keepLines w:val="0"/>
        <w:pageBreakBefore w:val="0"/>
        <w:widowControl/>
        <w:numPr>
          <w:ilvl w:val="-1"/>
          <w:numId w:val="0"/>
        </w:numPr>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numPr>
          <w:ilvl w:val="-1"/>
          <w:numId w:val="0"/>
        </w:numPr>
        <w:kinsoku/>
        <w:wordWrap/>
        <w:overflowPunct/>
        <w:topLinePunct w:val="0"/>
        <w:autoSpaceDE/>
        <w:autoSpaceDN/>
        <w:bidi w:val="0"/>
        <w:adjustRightInd/>
        <w:snapToGrid/>
        <w:spacing w:line="594" w:lineRule="exact"/>
        <w:ind w:firstLine="592" w:firstLineChars="200"/>
        <w:textAlignment w:val="auto"/>
        <w:rPr>
          <w:rFonts w:hint="eastAsia" w:ascii="黑体" w:hAnsi="黑体" w:eastAsia="黑体" w:cs="黑体"/>
          <w:spacing w:val="-12"/>
          <w:sz w:val="32"/>
          <w:szCs w:val="32"/>
          <w:lang w:val="en-US" w:eastAsia="zh-CN"/>
        </w:rPr>
      </w:pPr>
      <w:r>
        <w:rPr>
          <w:rFonts w:hint="eastAsia" w:ascii="黑体" w:hAnsi="黑体" w:eastAsia="黑体" w:cs="黑体"/>
          <w:spacing w:val="-12"/>
          <w:sz w:val="32"/>
          <w:szCs w:val="32"/>
          <w:lang w:val="en-US" w:eastAsia="zh-CN"/>
        </w:rPr>
        <w:t>一、菌落总数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菌落总数是指示性微生物指标，不是致病菌指标，反映食品在生产过程中的卫生状况。如果食品的菌落总数严重超标，将会破坏食品的营养成分，使食品失去食用价值；还会加速食品腐败变质，可能危害人体健康。</w:t>
      </w:r>
      <w:r>
        <w:rPr>
          <w:rFonts w:ascii="Times New Roman" w:hAnsi="Times New Roman" w:eastAsia="仿宋_GB2312" w:cs="Times New Roman"/>
          <w:sz w:val="32"/>
          <w:szCs w:val="32"/>
        </w:rPr>
        <w:t xml:space="preserve">《食品安全国家标准 </w:t>
      </w:r>
      <w:r>
        <w:rPr>
          <w:rFonts w:hint="eastAsia" w:ascii="Times New Roman" w:hAnsi="Times New Roman" w:eastAsia="仿宋_GB2312" w:cs="Times New Roman"/>
          <w:sz w:val="32"/>
          <w:szCs w:val="32"/>
          <w:lang w:val="en-US" w:eastAsia="zh-CN"/>
        </w:rPr>
        <w:t>婴幼儿谷类辅助食品</w:t>
      </w:r>
      <w:r>
        <w:rPr>
          <w:rFonts w:ascii="Times New Roman" w:hAnsi="Times New Roman" w:eastAsia="仿宋_GB2312" w:cs="Times New Roman"/>
          <w:sz w:val="32"/>
          <w:szCs w:val="32"/>
        </w:rPr>
        <w:t xml:space="preserve">》（GB </w:t>
      </w:r>
      <w:r>
        <w:rPr>
          <w:rFonts w:hint="eastAsia" w:ascii="Times New Roman" w:hAnsi="Times New Roman" w:eastAsia="仿宋_GB2312" w:cs="Times New Roman"/>
          <w:sz w:val="32"/>
          <w:szCs w:val="32"/>
          <w:lang w:val="en-US" w:eastAsia="zh-CN"/>
        </w:rPr>
        <w:t>10769</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lang w:val="en-US" w:eastAsia="zh-CN"/>
        </w:rPr>
        <w:t>2010</w:t>
      </w:r>
      <w:r>
        <w:rPr>
          <w:rFonts w:ascii="Times New Roman" w:hAnsi="Times New Roman" w:eastAsia="仿宋_GB2312" w:cs="Times New Roman"/>
          <w:sz w:val="32"/>
          <w:szCs w:val="32"/>
        </w:rPr>
        <w:t>）中规定，</w:t>
      </w:r>
      <w:r>
        <w:rPr>
          <w:rFonts w:hint="eastAsia" w:ascii="Times New Roman" w:hAnsi="Times New Roman" w:eastAsia="仿宋_GB2312" w:cs="Times New Roman"/>
          <w:sz w:val="32"/>
          <w:szCs w:val="32"/>
          <w:lang w:val="en-US" w:eastAsia="zh-CN"/>
        </w:rPr>
        <w:t>婴幼儿谷类辅助食品中</w:t>
      </w:r>
      <w:r>
        <w:rPr>
          <w:rFonts w:hint="default" w:ascii="Times New Roman" w:hAnsi="Times New Roman" w:eastAsia="仿宋_GB2312" w:cs="Times New Roman"/>
          <w:sz w:val="32"/>
          <w:szCs w:val="32"/>
        </w:rPr>
        <w:t>同一批次产品5个样品的菌落总数检</w:t>
      </w:r>
      <w:r>
        <w:rPr>
          <w:rFonts w:hint="eastAsia" w:ascii="Times New Roman" w:hAnsi="Times New Roman" w:eastAsia="仿宋_GB2312" w:cs="Times New Roman"/>
          <w:sz w:val="32"/>
          <w:szCs w:val="32"/>
          <w:lang w:val="en-US" w:eastAsia="zh-CN"/>
        </w:rPr>
        <w:t>验</w:t>
      </w:r>
      <w:r>
        <w:rPr>
          <w:rFonts w:hint="default" w:ascii="Times New Roman" w:hAnsi="Times New Roman" w:eastAsia="仿宋_GB2312" w:cs="Times New Roman"/>
          <w:sz w:val="32"/>
          <w:szCs w:val="32"/>
        </w:rPr>
        <w:t>结果均不得超过</w:t>
      </w: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vertAlign w:val="superscript"/>
          <w:lang w:val="en-US" w:eastAsia="zh-CN"/>
        </w:rPr>
        <w:t>4</w:t>
      </w:r>
      <w:r>
        <w:rPr>
          <w:rFonts w:hint="default" w:ascii="Times New Roman" w:hAnsi="Times New Roman" w:eastAsia="仿宋_GB2312" w:cs="Times New Roman"/>
          <w:sz w:val="32"/>
          <w:szCs w:val="32"/>
        </w:rPr>
        <w:t>CFU/</w:t>
      </w:r>
      <w:r>
        <w:rPr>
          <w:rFonts w:hint="eastAsia" w:ascii="Times New Roman" w:hAnsi="Times New Roman" w:eastAsia="仿宋_GB2312" w:cs="Times New Roman"/>
          <w:sz w:val="32"/>
          <w:szCs w:val="32"/>
          <w:lang w:val="en-US" w:eastAsia="zh-CN"/>
        </w:rPr>
        <w:t>g</w:t>
      </w:r>
      <w:r>
        <w:rPr>
          <w:rFonts w:hint="default" w:ascii="Times New Roman" w:hAnsi="Times New Roman" w:eastAsia="仿宋_GB2312" w:cs="Times New Roman"/>
          <w:sz w:val="32"/>
          <w:szCs w:val="32"/>
        </w:rPr>
        <w:t>，且最多允许2个样品的检</w:t>
      </w:r>
      <w:r>
        <w:rPr>
          <w:rFonts w:hint="eastAsia" w:ascii="Times New Roman" w:hAnsi="Times New Roman" w:eastAsia="仿宋_GB2312" w:cs="Times New Roman"/>
          <w:sz w:val="32"/>
          <w:szCs w:val="32"/>
          <w:lang w:val="en-US" w:eastAsia="zh-CN"/>
        </w:rPr>
        <w:t>验</w:t>
      </w:r>
      <w:r>
        <w:rPr>
          <w:rFonts w:hint="default" w:ascii="Times New Roman" w:hAnsi="Times New Roman" w:eastAsia="仿宋_GB2312" w:cs="Times New Roman"/>
          <w:sz w:val="32"/>
          <w:szCs w:val="32"/>
        </w:rPr>
        <w:t>结果超过</w:t>
      </w: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vertAlign w:val="superscript"/>
          <w:lang w:val="en-US" w:eastAsia="zh-CN"/>
        </w:rPr>
        <w:t>3</w:t>
      </w:r>
      <w:r>
        <w:rPr>
          <w:rFonts w:hint="default" w:ascii="Times New Roman" w:hAnsi="Times New Roman" w:eastAsia="仿宋_GB2312" w:cs="Times New Roman"/>
          <w:sz w:val="32"/>
          <w:szCs w:val="32"/>
        </w:rPr>
        <w:t>CFU/</w:t>
      </w:r>
      <w:r>
        <w:rPr>
          <w:rFonts w:hint="eastAsia" w:ascii="Times New Roman" w:hAnsi="Times New Roman" w:eastAsia="仿宋_GB2312" w:cs="Times New Roman"/>
          <w:sz w:val="32"/>
          <w:szCs w:val="32"/>
          <w:lang w:val="en-US" w:eastAsia="zh-CN"/>
        </w:rPr>
        <w:t>g</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《食品安全国家标准 蜜饯》（GB 14884</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2016）中规定，</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蜜饯</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中同一批次产品5个样</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品</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菌落总数</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检</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结果均不得超过10</w:t>
      </w:r>
      <w:r>
        <w:rPr>
          <w:rFonts w:hint="default" w:ascii="Times New Roman" w:hAnsi="Times New Roman" w:eastAsia="仿宋_GB2312" w:cs="Times New Roman"/>
          <w:color w:val="000000" w:themeColor="text1"/>
          <w:sz w:val="32"/>
          <w:szCs w:val="32"/>
          <w:highlight w:val="none"/>
          <w:vertAlign w:val="superscript"/>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CFU/g</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且</w:t>
      </w:r>
      <w:r>
        <w:rPr>
          <w:rFonts w:hint="default" w:ascii="Times New Roman" w:hAnsi="Times New Roman" w:eastAsia="仿宋_GB2312" w:cs="Times New Roman"/>
          <w:sz w:val="32"/>
          <w:szCs w:val="32"/>
        </w:rPr>
        <w:t>最多允许2个样品的检</w:t>
      </w:r>
      <w:r>
        <w:rPr>
          <w:rFonts w:hint="eastAsia" w:ascii="Times New Roman" w:hAnsi="Times New Roman" w:eastAsia="仿宋_GB2312" w:cs="Times New Roman"/>
          <w:sz w:val="32"/>
          <w:szCs w:val="32"/>
          <w:lang w:val="en-US" w:eastAsia="zh-CN"/>
        </w:rPr>
        <w:t>验</w:t>
      </w:r>
      <w:r>
        <w:rPr>
          <w:rFonts w:hint="default" w:ascii="Times New Roman" w:hAnsi="Times New Roman" w:eastAsia="仿宋_GB2312" w:cs="Times New Roman"/>
          <w:sz w:val="32"/>
          <w:szCs w:val="32"/>
        </w:rPr>
        <w:t>结果超过</w:t>
      </w: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vertAlign w:val="superscript"/>
          <w:lang w:val="en-US" w:eastAsia="zh-CN"/>
        </w:rPr>
        <w:t>3</w:t>
      </w:r>
      <w:r>
        <w:rPr>
          <w:rFonts w:hint="default" w:ascii="Times New Roman" w:hAnsi="Times New Roman" w:eastAsia="仿宋_GB2312" w:cs="Times New Roman"/>
          <w:sz w:val="32"/>
          <w:szCs w:val="32"/>
        </w:rPr>
        <w:t>CFU/</w:t>
      </w:r>
      <w:r>
        <w:rPr>
          <w:rFonts w:hint="eastAsia" w:ascii="Times New Roman" w:hAnsi="Times New Roman" w:eastAsia="仿宋_GB2312" w:cs="Times New Roman"/>
          <w:sz w:val="32"/>
          <w:szCs w:val="32"/>
          <w:lang w:val="en-US" w:eastAsia="zh-CN"/>
        </w:rPr>
        <w:t>g</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；《食品安全国家标准 藻类及其制品》（GB 19643—2016）中规定，即食藻类制品中同一批次产品5个样品的菌落总数</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检验</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结果均不得超过10</w:t>
      </w:r>
      <w:r>
        <w:rPr>
          <w:rFonts w:hint="eastAsia" w:ascii="Times New Roman" w:hAnsi="Times New Roman" w:eastAsia="仿宋_GB2312" w:cs="Times New Roman"/>
          <w:color w:val="000000" w:themeColor="text1"/>
          <w:sz w:val="32"/>
          <w:szCs w:val="32"/>
          <w:highlight w:val="none"/>
          <w:vertAlign w:val="superscript"/>
          <w:lang w:eastAsia="zh-CN"/>
          <w14:textFill>
            <w14:solidFill>
              <w14:schemeClr w14:val="tx1"/>
            </w14:solidFill>
          </w14:textFill>
        </w:rPr>
        <w:t>5</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CFU/g，且最多允许2个样品的</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检验</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结果超过</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10</w:t>
      </w:r>
      <w:r>
        <w:rPr>
          <w:rFonts w:hint="eastAsia" w:ascii="Times New Roman" w:hAnsi="Times New Roman" w:eastAsia="仿宋_GB2312" w:cs="Times New Roman"/>
          <w:color w:val="000000" w:themeColor="text1"/>
          <w:sz w:val="32"/>
          <w:szCs w:val="32"/>
          <w:highlight w:val="none"/>
          <w:vertAlign w:val="superscript"/>
          <w:lang w:eastAsia="zh-CN"/>
          <w14:textFill>
            <w14:solidFill>
              <w14:schemeClr w14:val="tx1"/>
            </w14:solidFill>
          </w14:textFill>
        </w:rPr>
        <w:t>4</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CFU/g。</w:t>
      </w:r>
      <w:r>
        <w:rPr>
          <w:rFonts w:hint="eastAsia" w:ascii="Times New Roman" w:hAnsi="Times New Roman" w:eastAsia="仿宋_GB2312" w:cs="Times New Roman"/>
          <w:sz w:val="32"/>
          <w:szCs w:val="32"/>
          <w:lang w:val="en-US" w:eastAsia="zh-CN"/>
        </w:rPr>
        <w:t>婴幼儿谷类辅助食品、蜜饯、即食藻类制品</w:t>
      </w:r>
      <w:r>
        <w:rPr>
          <w:rFonts w:hint="default" w:ascii="Times New Roman" w:hAnsi="Times New Roman" w:eastAsia="仿宋_GB2312" w:cs="Times New Roman"/>
          <w:sz w:val="32"/>
          <w:szCs w:val="32"/>
        </w:rPr>
        <w:t>中菌落总数超标的原因，可能是企业未按要求严格控制生产加工过程的卫生条件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也可能与产品包装密封不严或储运条件不当等有关。</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黑体" w:hAnsi="黑体" w:eastAsia="黑体" w:cs="黑体"/>
          <w:spacing w:val="0"/>
          <w:sz w:val="32"/>
          <w:szCs w:val="32"/>
          <w:lang w:val="en-US" w:eastAsia="zh-CN"/>
        </w:rPr>
      </w:pPr>
      <w:r>
        <w:rPr>
          <w:rFonts w:hint="eastAsia" w:ascii="黑体" w:hAnsi="黑体" w:eastAsia="黑体" w:cs="黑体"/>
          <w:kern w:val="0"/>
          <w:sz w:val="32"/>
          <w:szCs w:val="32"/>
          <w:lang w:val="en-US" w:eastAsia="zh-CN"/>
        </w:rPr>
        <w:t>二、乙基麦芽酚</w:t>
      </w:r>
    </w:p>
    <w:p>
      <w:pPr>
        <w:pStyle w:val="2"/>
        <w:spacing w:after="0" w:line="594" w:lineRule="exact"/>
        <w:rPr>
          <w:rFonts w:hint="default"/>
        </w:rPr>
      </w:pPr>
      <w:r>
        <w:rPr>
          <w:rFonts w:ascii="Times New Roman" w:hAnsi="Times New Roman" w:eastAsia="仿宋_GB2312" w:cs="Times New Roman"/>
          <w:sz w:val="32"/>
          <w:szCs w:val="32"/>
        </w:rPr>
        <w:t>乙基麦芽酚是一种香味改良剂、增香剂，对食品中原有的香味调和、改善和增效具有显著效果，是允许在一定范围内使用的食品用合成香料。长期大量食用乙基麦芽酚超标的食品可能导致头痛、恶心、呕吐、呼吸困难，严重时会造成肝脏损伤、骨骼和关节提前脆变。《食品安全国家标准</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食品添加剂使用标准》（GB</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2760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2014）</w:t>
      </w:r>
      <w:r>
        <w:rPr>
          <w:rFonts w:hint="eastAsia" w:ascii="Times New Roman" w:hAnsi="Times New Roman" w:eastAsia="仿宋_GB2312" w:cs="Times New Roman"/>
          <w:sz w:val="32"/>
          <w:szCs w:val="32"/>
        </w:rPr>
        <w:t>中</w:t>
      </w:r>
      <w:r>
        <w:rPr>
          <w:rFonts w:ascii="Times New Roman" w:hAnsi="Times New Roman" w:eastAsia="仿宋_GB2312" w:cs="Times New Roman"/>
          <w:sz w:val="32"/>
          <w:szCs w:val="32"/>
        </w:rPr>
        <w:t>规定，植物油脂中不得添加食品用香料、香精。食用油中检出乙基麦芽酚的原因，可能是生产经营者以次充好，在具有特殊香味的植物油脂中违规添加</w:t>
      </w:r>
      <w:r>
        <w:rPr>
          <w:rFonts w:hint="eastAsia" w:eastAsia="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92" w:firstLineChars="200"/>
        <w:textAlignment w:val="auto"/>
        <w:rPr>
          <w:rFonts w:hint="eastAsia" w:ascii="黑体" w:hAnsi="黑体" w:eastAsia="黑体" w:cs="黑体"/>
          <w:spacing w:val="0"/>
          <w:sz w:val="32"/>
          <w:szCs w:val="32"/>
          <w:lang w:val="en-US" w:eastAsia="zh-CN"/>
        </w:rPr>
      </w:pPr>
      <w:r>
        <w:rPr>
          <w:rFonts w:hint="eastAsia" w:ascii="黑体" w:hAnsi="黑体" w:eastAsia="黑体" w:cs="黑体"/>
          <w:spacing w:val="-12"/>
          <w:sz w:val="32"/>
          <w:szCs w:val="32"/>
          <w:lang w:val="en-US" w:eastAsia="zh-CN"/>
        </w:rPr>
        <w:t>三、</w:t>
      </w:r>
      <w:r>
        <w:rPr>
          <w:rFonts w:hint="eastAsia" w:ascii="黑体" w:hAnsi="黑体" w:eastAsia="黑体" w:cs="黑体"/>
          <w:color w:val="000000" w:themeColor="text1"/>
          <w:sz w:val="32"/>
          <w:szCs w:val="32"/>
          <w:highlight w:val="none"/>
          <w:lang w:val="en-US" w:eastAsia="zh-CN"/>
          <w14:textFill>
            <w14:solidFill>
              <w14:schemeClr w14:val="tx1"/>
            </w14:solidFill>
          </w14:textFill>
        </w:rPr>
        <w:t>铝的残留量（干样品，以Al计）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仿宋_GB2312"/>
          <w:sz w:val="32"/>
          <w:szCs w:val="32"/>
        </w:rPr>
      </w:pPr>
      <w:r>
        <w:rPr>
          <w:rFonts w:ascii="Times New Roman" w:hAnsi="Times New Roman" w:eastAsia="仿宋_GB2312" w:cs="Times New Roman"/>
          <w:sz w:val="32"/>
          <w:szCs w:val="32"/>
        </w:rPr>
        <w:t>含铝食品添加剂，比如硫酸铝钾（又名钾明矾）、硫酸铝铵（又名铵明矾）等，在食品中作为膨松剂、稳定剂使用，使用后会产生铝残留。含铝食品添加剂按标准使用不会对健康造成危害，但长期食用铝超标的食品会导致运动和学习记忆能力下降，影响儿童智力发育。</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食品安全国家标准 食品添加剂使用标准》（GB 2760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2014）中规定，</w:t>
      </w:r>
      <w:r>
        <w:rPr>
          <w:rFonts w:hint="eastAsia" w:ascii="Times New Roman" w:hAnsi="Times New Roman" w:eastAsia="仿宋_GB2312" w:cs="Times New Roman"/>
          <w:sz w:val="32"/>
          <w:szCs w:val="32"/>
        </w:rPr>
        <w:t>粉丝、粉条中铝的残留</w:t>
      </w:r>
      <w:r>
        <w:rPr>
          <w:rFonts w:hint="eastAsia" w:ascii="Times New Roman" w:hAnsi="Times New Roman" w:eastAsia="仿宋_GB2312" w:cs="Times New Roman"/>
          <w:sz w:val="32"/>
          <w:szCs w:val="32"/>
          <w:lang w:val="en-US" w:eastAsia="zh-CN"/>
        </w:rPr>
        <w:t>量</w:t>
      </w:r>
      <w:r>
        <w:rPr>
          <w:rFonts w:hint="eastAsia" w:ascii="Times New Roman" w:hAnsi="Times New Roman" w:eastAsia="仿宋_GB2312" w:cs="Times New Roman"/>
          <w:sz w:val="32"/>
          <w:szCs w:val="32"/>
        </w:rPr>
        <w:t>（干样品，以Al计）最大限量值为200mg/kg。粉丝、粉条中铝的残留量（干样品，以Al计）超标的原因，可能是企业在生产加工过程中未控制好含铝食品添加剂的使用量；也可能是其使用的复配食品添加剂中铝含量过高；还可能是厂家使用的粉丝粉条原料（食用淀粉），因受环境影响原料中含有较高含量的铝。</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黑体" w:hAnsi="黑体" w:eastAsia="黑体" w:cs="黑体"/>
          <w:spacing w:val="-12"/>
          <w:sz w:val="32"/>
          <w:szCs w:val="32"/>
          <w:lang w:val="en-US" w:eastAsia="zh-CN"/>
        </w:rPr>
      </w:pPr>
      <w:r>
        <w:rPr>
          <w:rFonts w:hint="eastAsia" w:ascii="黑体" w:hAnsi="黑体" w:eastAsia="黑体" w:cs="黑体"/>
          <w:sz w:val="32"/>
          <w:szCs w:val="32"/>
          <w:lang w:val="en-US" w:eastAsia="zh-CN"/>
        </w:rPr>
        <w:t>四、山梨酸及其钾盐（以山梨酸计）</w:t>
      </w:r>
    </w:p>
    <w:p>
      <w:pPr>
        <w:keepNext w:val="0"/>
        <w:keepLines w:val="0"/>
        <w:pageBreakBefore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ascii="Times New Roman" w:hAnsi="Times New Roman" w:eastAsia="仿宋_GB2312"/>
          <w:sz w:val="32"/>
          <w:szCs w:val="32"/>
        </w:rPr>
        <w:t>山梨酸及其钾盐抗菌性强，防腐效果好，是目前应用非常广泛的食品防腐剂。长期食用山梨酸及其钾盐超标的食品，可能对肝脏、肾脏、骨骼生长造成危害。</w:t>
      </w:r>
      <w:r>
        <w:rPr>
          <w:rFonts w:ascii="Times New Roman" w:hAnsi="Times New Roman" w:eastAsia="仿宋_GB2312"/>
          <w:sz w:val="32"/>
          <w:szCs w:val="32"/>
          <w:highlight w:val="none"/>
        </w:rPr>
        <w:t>《食品安全国家标准</w:t>
      </w:r>
      <w:r>
        <w:rPr>
          <w:rFonts w:hint="eastAsia" w:ascii="Times New Roman" w:hAnsi="Times New Roman" w:eastAsia="仿宋_GB2312"/>
          <w:sz w:val="32"/>
          <w:szCs w:val="32"/>
          <w:highlight w:val="none"/>
        </w:rPr>
        <w:t xml:space="preserve"> </w:t>
      </w:r>
      <w:r>
        <w:rPr>
          <w:rFonts w:ascii="Times New Roman" w:hAnsi="Times New Roman" w:eastAsia="仿宋_GB2312"/>
          <w:sz w:val="32"/>
          <w:szCs w:val="32"/>
          <w:highlight w:val="none"/>
        </w:rPr>
        <w:t>食品添加剂使用标准》（GB 2760</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2014）中规定，</w:t>
      </w:r>
      <w:r>
        <w:rPr>
          <w:rFonts w:hint="eastAsia" w:ascii="Times New Roman" w:hAnsi="Times New Roman" w:eastAsia="仿宋_GB2312"/>
          <w:sz w:val="32"/>
          <w:szCs w:val="32"/>
          <w:highlight w:val="none"/>
          <w:lang w:eastAsia="zh-CN"/>
        </w:rPr>
        <w:t>糕点中</w:t>
      </w:r>
      <w:r>
        <w:rPr>
          <w:rFonts w:hint="eastAsia" w:eastAsia="仿宋_GB2312"/>
          <w:sz w:val="32"/>
          <w:szCs w:val="32"/>
          <w:highlight w:val="none"/>
        </w:rPr>
        <w:t>山梨酸及其钾盐（以山梨酸计）的</w:t>
      </w:r>
      <w:r>
        <w:rPr>
          <w:rFonts w:hint="eastAsia" w:ascii="Times New Roman" w:hAnsi="Times New Roman" w:eastAsia="仿宋_GB2312"/>
          <w:sz w:val="32"/>
          <w:szCs w:val="32"/>
          <w:highlight w:val="none"/>
        </w:rPr>
        <w:t>最大使用量为</w:t>
      </w:r>
      <w:r>
        <w:rPr>
          <w:rFonts w:hint="eastAsia" w:ascii="Times New Roman" w:hAnsi="Times New Roman" w:eastAsia="仿宋_GB2312"/>
          <w:sz w:val="32"/>
          <w:szCs w:val="32"/>
          <w:highlight w:val="none"/>
          <w:lang w:val="en-US" w:eastAsia="zh-CN"/>
        </w:rPr>
        <w:t>1.0</w:t>
      </w:r>
      <w:r>
        <w:rPr>
          <w:rFonts w:hint="eastAsia" w:ascii="Times New Roman" w:hAnsi="Times New Roman" w:eastAsia="仿宋_GB2312"/>
          <w:sz w:val="32"/>
          <w:szCs w:val="32"/>
          <w:highlight w:val="none"/>
        </w:rPr>
        <w:t>g/kg</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糕点</w:t>
      </w:r>
      <w:r>
        <w:rPr>
          <w:rFonts w:hint="eastAsia" w:eastAsia="仿宋_GB2312"/>
          <w:sz w:val="32"/>
          <w:szCs w:val="32"/>
        </w:rPr>
        <w:t>中</w:t>
      </w:r>
      <w:r>
        <w:rPr>
          <w:rFonts w:ascii="Times New Roman" w:hAnsi="Times New Roman" w:eastAsia="仿宋_GB2312"/>
          <w:sz w:val="32"/>
          <w:szCs w:val="32"/>
        </w:rPr>
        <w:t>山梨酸及其钾盐</w:t>
      </w:r>
      <w:r>
        <w:rPr>
          <w:rFonts w:hint="eastAsia" w:ascii="Times New Roman" w:hAnsi="Times New Roman" w:eastAsia="仿宋_GB2312"/>
          <w:sz w:val="32"/>
          <w:szCs w:val="32"/>
        </w:rPr>
        <w:t>（以山梨酸计）</w:t>
      </w:r>
      <w:r>
        <w:rPr>
          <w:rFonts w:hint="default" w:ascii="Times New Roman" w:hAnsi="Times New Roman" w:eastAsia="仿宋_GB2312" w:cs="Times New Roman"/>
          <w:color w:val="000000"/>
          <w:sz w:val="32"/>
          <w:szCs w:val="32"/>
          <w:highlight w:val="none"/>
        </w:rPr>
        <w:t>检</w:t>
      </w:r>
      <w:r>
        <w:rPr>
          <w:rFonts w:hint="eastAsia" w:ascii="Times New Roman" w:hAnsi="Times New Roman" w:eastAsia="仿宋_GB2312" w:cs="Times New Roman"/>
          <w:color w:val="000000"/>
          <w:sz w:val="32"/>
          <w:szCs w:val="32"/>
          <w:highlight w:val="none"/>
          <w:lang w:val="en-US" w:eastAsia="zh-CN"/>
        </w:rPr>
        <w:t>验</w:t>
      </w:r>
      <w:r>
        <w:rPr>
          <w:rFonts w:hint="default" w:ascii="Times New Roman" w:hAnsi="Times New Roman" w:eastAsia="仿宋_GB2312" w:cs="Times New Roman"/>
          <w:color w:val="000000"/>
          <w:sz w:val="32"/>
          <w:szCs w:val="32"/>
          <w:highlight w:val="none"/>
        </w:rPr>
        <w:t>值</w:t>
      </w:r>
      <w:r>
        <w:rPr>
          <w:rFonts w:hint="eastAsia" w:ascii="Times New Roman" w:hAnsi="Times New Roman" w:eastAsia="仿宋_GB2312" w:cs="Times New Roman"/>
          <w:color w:val="000000"/>
          <w:sz w:val="32"/>
          <w:szCs w:val="32"/>
          <w:highlight w:val="none"/>
          <w:lang w:val="en-US" w:eastAsia="zh-CN"/>
        </w:rPr>
        <w:t>超标的原因</w:t>
      </w:r>
      <w:r>
        <w:rPr>
          <w:rFonts w:ascii="Times New Roman" w:hAnsi="Times New Roman" w:eastAsia="仿宋_GB2312"/>
          <w:sz w:val="32"/>
          <w:szCs w:val="32"/>
        </w:rPr>
        <w:t>，可能是企业</w:t>
      </w:r>
      <w:r>
        <w:rPr>
          <w:rFonts w:hint="eastAsia" w:ascii="Times New Roman" w:hAnsi="Times New Roman" w:eastAsia="仿宋_GB2312" w:cs="Times New Roman"/>
          <w:kern w:val="2"/>
          <w:sz w:val="32"/>
          <w:szCs w:val="32"/>
          <w:lang w:val="en-US" w:eastAsia="zh-CN" w:bidi="ar-SA"/>
        </w:rPr>
        <w:t>为了防止食品腐败变质、延长产品保质期而超限量使用；也可能是在使用过程中未计量或计量不准确。</w:t>
      </w:r>
    </w:p>
    <w:p>
      <w:pPr>
        <w:keepNext w:val="0"/>
        <w:keepLines w:val="0"/>
        <w:pageBreakBefore w:val="0"/>
        <w:widowControl/>
        <w:numPr>
          <w:ilvl w:val="-1"/>
          <w:numId w:val="0"/>
        </w:numPr>
        <w:kinsoku/>
        <w:wordWrap/>
        <w:overflowPunct/>
        <w:topLinePunct w:val="0"/>
        <w:autoSpaceDE/>
        <w:autoSpaceDN/>
        <w:bidi w:val="0"/>
        <w:adjustRightInd/>
        <w:snapToGrid/>
        <w:spacing w:line="594" w:lineRule="exact"/>
        <w:ind w:firstLine="592" w:firstLineChars="200"/>
        <w:textAlignment w:val="auto"/>
        <w:rPr>
          <w:rFonts w:hint="eastAsia" w:ascii="黑体" w:hAnsi="黑体" w:eastAsia="黑体" w:cs="黑体"/>
          <w:kern w:val="0"/>
          <w:sz w:val="32"/>
          <w:szCs w:val="32"/>
          <w:lang w:val="en-US" w:eastAsia="zh-CN"/>
        </w:rPr>
      </w:pPr>
      <w:r>
        <w:rPr>
          <w:rFonts w:hint="eastAsia" w:ascii="黑体" w:hAnsi="黑体" w:eastAsia="黑体" w:cs="黑体"/>
          <w:spacing w:val="-12"/>
          <w:sz w:val="32"/>
          <w:szCs w:val="32"/>
          <w:lang w:val="en-US" w:eastAsia="zh-CN"/>
        </w:rPr>
        <w:t>五、防腐剂混合使用时各自用量占其最大使用量的比例之和</w:t>
      </w:r>
    </w:p>
    <w:p>
      <w:pPr>
        <w:keepNext w:val="0"/>
        <w:keepLines w:val="0"/>
        <w:pageBreakBefore w:val="0"/>
        <w:widowControl/>
        <w:numPr>
          <w:ilvl w:val="-1"/>
          <w:numId w:val="0"/>
        </w:numPr>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黑体" w:cs="Times New Roman"/>
          <w:kern w:val="0"/>
          <w:sz w:val="32"/>
          <w:szCs w:val="32"/>
          <w:lang w:val="en-US" w:eastAsia="zh-CN"/>
        </w:rPr>
      </w:pPr>
      <w:r>
        <w:rPr>
          <w:rFonts w:hint="default" w:ascii="Times New Roman" w:hAnsi="Times New Roman" w:eastAsia="仿宋_GB2312" w:cs="Times New Roman"/>
          <w:spacing w:val="0"/>
          <w:sz w:val="32"/>
          <w:szCs w:val="32"/>
        </w:rPr>
        <w:t>防腐剂是常见的食品添加剂，指天然或合成的化学成分，用于延缓或抑制由微生物引起的食品腐败变质。长期食用防腐剂超标的食品会对人体健康造成损害。《食品安全国家标准 食品添加剂使用标准》（GB 2760</w:t>
      </w:r>
      <w:r>
        <w:rPr>
          <w:rFonts w:hint="eastAsia" w:ascii="Times New Roman" w:hAnsi="Times New Roman" w:eastAsia="仿宋_GB2312" w:cs="仿宋_GB2312"/>
          <w:spacing w:val="0"/>
          <w:sz w:val="32"/>
          <w:szCs w:val="32"/>
          <w:lang w:eastAsia="zh-CN"/>
        </w:rPr>
        <w:t>—</w:t>
      </w:r>
      <w:r>
        <w:rPr>
          <w:rFonts w:hint="default" w:ascii="Times New Roman" w:hAnsi="Times New Roman" w:eastAsia="仿宋_GB2312" w:cs="Times New Roman"/>
          <w:spacing w:val="0"/>
          <w:sz w:val="32"/>
          <w:szCs w:val="32"/>
        </w:rPr>
        <w:t>2014）中规定，防腐剂在混合使用时各自用量占其最大使用量的比例之和不应超过1。</w:t>
      </w:r>
      <w:r>
        <w:rPr>
          <w:rFonts w:hint="eastAsia" w:ascii="Times New Roman" w:hAnsi="Times New Roman" w:eastAsia="仿宋_GB2312" w:cs="Times New Roman"/>
          <w:spacing w:val="0"/>
          <w:sz w:val="32"/>
          <w:szCs w:val="32"/>
          <w:lang w:val="en-US" w:eastAsia="zh-CN"/>
        </w:rPr>
        <w:t>调味品</w:t>
      </w:r>
      <w:r>
        <w:rPr>
          <w:rFonts w:hint="default" w:ascii="Times New Roman" w:hAnsi="Times New Roman" w:eastAsia="仿宋_GB2312" w:cs="Times New Roman"/>
          <w:spacing w:val="0"/>
          <w:sz w:val="32"/>
          <w:szCs w:val="32"/>
        </w:rPr>
        <w:t>中防腐剂混合使用时各自用量占其最大使用量的比例之和超标的原因，可能是生产企业在生产加工过程中未严格控制各防腐剂的用量。</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92" w:firstLineChars="200"/>
        <w:textAlignment w:val="auto"/>
        <w:rPr>
          <w:rFonts w:hint="default" w:ascii="黑体" w:hAnsi="黑体" w:eastAsia="黑体" w:cs="黑体"/>
          <w:spacing w:val="-12"/>
          <w:sz w:val="32"/>
          <w:szCs w:val="32"/>
          <w:lang w:val="en-US" w:eastAsia="zh-CN"/>
        </w:rPr>
      </w:pPr>
      <w:r>
        <w:rPr>
          <w:rFonts w:hint="eastAsia" w:ascii="黑体" w:hAnsi="黑体" w:eastAsia="黑体" w:cs="黑体"/>
          <w:spacing w:val="-12"/>
          <w:sz w:val="32"/>
          <w:szCs w:val="32"/>
          <w:lang w:val="en-US" w:eastAsia="zh-CN"/>
        </w:rPr>
        <w:t>六、酸价（KOH）</w:t>
      </w:r>
    </w:p>
    <w:p>
      <w:pPr>
        <w:pStyle w:val="2"/>
        <w:numPr>
          <w:ilvl w:val="0"/>
          <w:numId w:val="0"/>
        </w:numPr>
        <w:autoSpaceDE/>
        <w:autoSpaceDN/>
        <w:spacing w:after="0" w:line="594"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酸价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又称酸值，</w:t>
      </w:r>
      <w:r>
        <w:rPr>
          <w:rFonts w:hint="eastAsia" w:ascii="Times New Roman" w:hAnsi="Times New Roman" w:eastAsia="仿宋_GB2312" w:cs="Times New Roman"/>
          <w:sz w:val="32"/>
          <w:szCs w:val="32"/>
        </w:rPr>
        <w:t>主要反映食品中油脂的酸败程度。酸价超标会导致食品有哈喇</w:t>
      </w:r>
      <w:r>
        <w:rPr>
          <w:rFonts w:hint="eastAsia" w:ascii="Times New Roman" w:hAnsi="Times New Roman" w:eastAsia="仿宋_GB2312" w:cs="Times New Roman"/>
          <w:sz w:val="32"/>
          <w:szCs w:val="32"/>
          <w:lang w:val="en-US" w:eastAsia="zh-CN"/>
        </w:rPr>
        <w:t>等异味</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严重超标时会</w:t>
      </w:r>
      <w:r>
        <w:rPr>
          <w:rFonts w:hint="eastAsia" w:ascii="Times New Roman" w:hAnsi="Times New Roman" w:eastAsia="仿宋_GB2312" w:cs="Times New Roman"/>
          <w:sz w:val="32"/>
          <w:szCs w:val="32"/>
        </w:rPr>
        <w:t>产生醛酮类化合物</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长期摄入</w:t>
      </w:r>
      <w:r>
        <w:rPr>
          <w:rFonts w:hint="eastAsia" w:ascii="Times New Roman" w:hAnsi="Times New Roman" w:eastAsia="仿宋_GB2312" w:cs="Times New Roman"/>
          <w:sz w:val="32"/>
          <w:szCs w:val="32"/>
          <w:lang w:val="en-US" w:eastAsia="zh-CN"/>
        </w:rPr>
        <w:t>酸价超标的食品</w:t>
      </w:r>
      <w:r>
        <w:rPr>
          <w:rFonts w:hint="eastAsia" w:ascii="Times New Roman" w:hAnsi="Times New Roman" w:eastAsia="仿宋_GB2312" w:cs="Times New Roman"/>
          <w:sz w:val="32"/>
          <w:szCs w:val="32"/>
        </w:rPr>
        <w:t>会对健康有一定影响。《食品安全国家标准 植物油》（GB 2716—2018）中规定，食用植物油（包括调和油）中酸价的最大限量值为3mg/g。食用植物油中酸价</w:t>
      </w:r>
      <w:r>
        <w:rPr>
          <w:rFonts w:hint="eastAsia" w:ascii="Times New Roman" w:hAnsi="Times New Roman" w:eastAsia="仿宋_GB2312" w:cs="Times New Roman"/>
          <w:sz w:val="32"/>
          <w:szCs w:val="32"/>
          <w:lang w:eastAsia="zh-CN"/>
        </w:rPr>
        <w:t>（</w:t>
      </w:r>
      <w:r>
        <w:rPr>
          <w:rFonts w:hint="default" w:ascii="Times New Roman" w:hAnsi="Times New Roman" w:eastAsia="黑体" w:cs="Times New Roman"/>
          <w:spacing w:val="-12"/>
          <w:sz w:val="32"/>
          <w:szCs w:val="32"/>
          <w:lang w:val="en-US" w:eastAsia="zh-CN"/>
        </w:rPr>
        <w:t>KOH</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检验值</w:t>
      </w:r>
      <w:r>
        <w:rPr>
          <w:rFonts w:hint="eastAsia" w:ascii="Times New Roman" w:hAnsi="Times New Roman" w:eastAsia="仿宋_GB2312" w:cs="Times New Roman"/>
          <w:sz w:val="32"/>
          <w:szCs w:val="32"/>
        </w:rPr>
        <w:t>超标的原因，可能是企业原料采购把关不严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也可能是生产工艺不达标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还可能与产品储藏条件不当有关</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黑体" w:cs="Times New Roman"/>
          <w:spacing w:val="0"/>
          <w:sz w:val="32"/>
          <w:szCs w:val="32"/>
          <w:lang w:val="en-US"/>
        </w:rPr>
      </w:pPr>
      <w:r>
        <w:rPr>
          <w:rFonts w:hint="eastAsia" w:ascii="Times New Roman" w:hAnsi="Times New Roman" w:eastAsia="黑体" w:cs="Times New Roman"/>
          <w:spacing w:val="0"/>
          <w:sz w:val="32"/>
          <w:szCs w:val="32"/>
          <w:lang w:val="en-US" w:eastAsia="zh-CN"/>
        </w:rPr>
        <w:t>七</w:t>
      </w:r>
      <w:r>
        <w:rPr>
          <w:rFonts w:hint="default" w:ascii="Times New Roman" w:hAnsi="Times New Roman" w:eastAsia="黑体" w:cs="Times New Roman"/>
          <w:spacing w:val="0"/>
          <w:sz w:val="32"/>
          <w:szCs w:val="32"/>
        </w:rPr>
        <w:t>、</w:t>
      </w:r>
      <w:r>
        <w:rPr>
          <w:rFonts w:hint="default" w:ascii="Times New Roman" w:hAnsi="Times New Roman" w:eastAsia="黑体" w:cs="Times New Roman"/>
          <w:sz w:val="32"/>
          <w:szCs w:val="32"/>
          <w:lang w:val="en-US" w:eastAsia="zh-CN"/>
        </w:rPr>
        <w:t>维生素</w:t>
      </w:r>
      <w:r>
        <w:rPr>
          <w:rFonts w:hint="eastAsia" w:ascii="黑体" w:hAnsi="黑体" w:eastAsia="黑体" w:cs="黑体"/>
          <w:sz w:val="32"/>
          <w:szCs w:val="32"/>
          <w:lang w:val="en-US" w:eastAsia="zh-CN"/>
        </w:rPr>
        <w:t>A</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z w:val="32"/>
          <w:szCs w:val="32"/>
          <w:lang w:val="en-US" w:eastAsia="zh-CN"/>
        </w:rPr>
        <w:t>维生素A是</w:t>
      </w:r>
      <w:r>
        <w:rPr>
          <w:rFonts w:hint="eastAsia" w:ascii="Times New Roman" w:hAnsi="Times New Roman" w:eastAsia="仿宋_GB2312" w:cs="Times New Roman"/>
          <w:sz w:val="32"/>
          <w:szCs w:val="32"/>
          <w:lang w:val="en-US" w:eastAsia="zh-CN"/>
        </w:rPr>
        <w:t>一种</w:t>
      </w:r>
      <w:r>
        <w:rPr>
          <w:rFonts w:hint="default" w:ascii="Times New Roman" w:hAnsi="Times New Roman" w:eastAsia="仿宋_GB2312" w:cs="Times New Roman"/>
          <w:sz w:val="32"/>
          <w:szCs w:val="32"/>
          <w:lang w:val="en-US" w:eastAsia="zh-CN"/>
        </w:rPr>
        <w:t>脂溶性维生素，</w:t>
      </w:r>
      <w:r>
        <w:rPr>
          <w:rFonts w:hint="eastAsia" w:ascii="Times New Roman" w:hAnsi="Times New Roman" w:eastAsia="仿宋_GB2312" w:cs="Times New Roman"/>
          <w:sz w:val="32"/>
          <w:szCs w:val="32"/>
          <w:lang w:val="en-US" w:eastAsia="zh-CN"/>
        </w:rPr>
        <w:t>在人体代谢过程中发挥重要作用，是</w:t>
      </w:r>
      <w:r>
        <w:rPr>
          <w:rFonts w:hint="default" w:ascii="Times New Roman" w:hAnsi="Times New Roman" w:eastAsia="仿宋_GB2312" w:cs="Times New Roman"/>
          <w:sz w:val="32"/>
          <w:szCs w:val="32"/>
          <w:lang w:val="en-US" w:eastAsia="zh-CN"/>
        </w:rPr>
        <w:t>婴幼儿生长发育不可缺少</w:t>
      </w:r>
      <w:r>
        <w:rPr>
          <w:rFonts w:hint="eastAsia" w:ascii="Times New Roman" w:hAnsi="Times New Roman" w:eastAsia="仿宋_GB2312" w:cs="Times New Roman"/>
          <w:sz w:val="32"/>
          <w:szCs w:val="32"/>
          <w:lang w:val="en-US" w:eastAsia="zh-CN"/>
        </w:rPr>
        <w:t>的微量营养素</w:t>
      </w:r>
      <w:r>
        <w:rPr>
          <w:rFonts w:hint="default" w:ascii="Times New Roman" w:hAnsi="Times New Roman" w:eastAsia="仿宋_GB2312" w:cs="Times New Roman"/>
          <w:sz w:val="32"/>
          <w:szCs w:val="32"/>
          <w:lang w:val="en-US" w:eastAsia="zh-CN"/>
        </w:rPr>
        <w:t>。维生素A缺乏可能引起夜盲症、干眼症等眼部症状，还可能会导致食欲减退、免疫功能低下，造成婴幼儿生长发育迟缓。</w:t>
      </w:r>
      <w:r>
        <w:rPr>
          <w:rFonts w:hint="eastAsia" w:ascii="Times New Roman" w:hAnsi="Times New Roman" w:eastAsia="仿宋_GB2312" w:cs="Times New Roman"/>
          <w:sz w:val="32"/>
          <w:szCs w:val="32"/>
          <w:lang w:val="en-US" w:eastAsia="zh-CN"/>
        </w:rPr>
        <w:t>《食品安全国家标准 运动营养食品通则》（GB 24154—2015）中规定，运动营养食品中维生素A含量（以每日计）应在120—375</w:t>
      </w:r>
      <w:r>
        <w:rPr>
          <w:rFonts w:hint="default" w:ascii="Times New Roman" w:hAnsi="Times New Roman" w:eastAsia="仿宋_GB2312" w:cs="Times New Roman"/>
          <w:sz w:val="32"/>
          <w:szCs w:val="32"/>
          <w:lang w:eastAsia="zh-CN"/>
        </w:rPr>
        <w:t>μg</w:t>
      </w:r>
      <w:r>
        <w:rPr>
          <w:rFonts w:hint="eastAsia" w:ascii="Times New Roman" w:hAnsi="Times New Roman" w:eastAsia="仿宋_GB2312" w:cs="Times New Roman"/>
          <w:sz w:val="32"/>
          <w:szCs w:val="32"/>
          <w:lang w:val="en-US" w:eastAsia="zh-CN"/>
        </w:rPr>
        <w:t>范围内，</w:t>
      </w:r>
      <w:r>
        <w:rPr>
          <w:rFonts w:hint="default" w:ascii="Times New Roman" w:hAnsi="Times New Roman" w:eastAsia="仿宋_GB2312" w:cs="Times New Roman"/>
          <w:sz w:val="32"/>
          <w:szCs w:val="32"/>
        </w:rPr>
        <w:t>且《食品安全国家标准 预包装特殊膳食用食品标签》（GB 13432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2013）中规定，在产品保质期内，能量和营养成分的实际含量不应低于标示值的80%。</w:t>
      </w:r>
      <w:bookmarkStart w:id="0" w:name="_GoBack"/>
      <w:bookmarkEnd w:id="0"/>
      <w:r>
        <w:rPr>
          <w:rFonts w:hint="eastAsia" w:ascii="Times New Roman" w:hAnsi="Times New Roman" w:eastAsia="仿宋_GB2312" w:cs="Times New Roman"/>
          <w:sz w:val="32"/>
          <w:szCs w:val="32"/>
          <w:lang w:val="en-US" w:eastAsia="zh-CN"/>
        </w:rPr>
        <w:t>运动营养食品</w:t>
      </w:r>
      <w:r>
        <w:rPr>
          <w:rFonts w:hint="default" w:ascii="Times New Roman" w:hAnsi="Times New Roman" w:eastAsia="仿宋_GB2312" w:cs="Times New Roman"/>
          <w:sz w:val="32"/>
          <w:szCs w:val="32"/>
          <w:lang w:val="en-US" w:eastAsia="zh-CN"/>
        </w:rPr>
        <w:t>中维生素A含量不达标的原因，可能是</w:t>
      </w:r>
      <w:r>
        <w:rPr>
          <w:rFonts w:hint="default" w:ascii="Times New Roman" w:hAnsi="Times New Roman" w:eastAsia="仿宋_GB2312" w:cs="Times New Roman"/>
          <w:sz w:val="32"/>
          <w:szCs w:val="32"/>
        </w:rPr>
        <w:t>原辅料用食品营养强化剂不</w:t>
      </w:r>
      <w:r>
        <w:rPr>
          <w:rFonts w:hint="default" w:ascii="Times New Roman" w:hAnsi="Times New Roman" w:eastAsia="仿宋_GB2312" w:cs="Times New Roman"/>
          <w:sz w:val="32"/>
          <w:szCs w:val="32"/>
          <w:lang w:eastAsia="zh-CN"/>
        </w:rPr>
        <w:t>符合</w:t>
      </w:r>
      <w:r>
        <w:rPr>
          <w:rFonts w:hint="default" w:ascii="Times New Roman" w:hAnsi="Times New Roman" w:eastAsia="仿宋_GB2312" w:cs="Times New Roman"/>
          <w:sz w:val="32"/>
          <w:szCs w:val="32"/>
        </w:rPr>
        <w:t>质量要求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也可能是</w:t>
      </w:r>
      <w:r>
        <w:rPr>
          <w:rFonts w:hint="default" w:ascii="Times New Roman" w:hAnsi="Times New Roman" w:eastAsia="仿宋_GB2312" w:cs="Times New Roman"/>
          <w:sz w:val="32"/>
          <w:szCs w:val="32"/>
        </w:rPr>
        <w:t>生产加工过程中搅拌不均匀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还</w:t>
      </w:r>
      <w:r>
        <w:rPr>
          <w:rFonts w:hint="default" w:ascii="Times New Roman" w:hAnsi="Times New Roman" w:eastAsia="仿宋_GB2312" w:cs="Times New Roman"/>
          <w:sz w:val="32"/>
          <w:szCs w:val="32"/>
        </w:rPr>
        <w:t>可能是在加工或储存过程中损失。</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pacing w:val="0"/>
          <w:sz w:val="32"/>
          <w:szCs w:val="32"/>
          <w:lang w:val="en-US" w:eastAsia="zh-CN"/>
        </w:rPr>
        <w:t>八、</w:t>
      </w:r>
      <w:r>
        <w:rPr>
          <w:rFonts w:hint="default" w:ascii="Times New Roman" w:hAnsi="Times New Roman" w:eastAsia="黑体" w:cs="Times New Roman"/>
          <w:sz w:val="32"/>
          <w:szCs w:val="32"/>
          <w:lang w:val="en-US" w:eastAsia="zh-CN"/>
        </w:rPr>
        <w:t>维生素</w:t>
      </w:r>
      <w:r>
        <w:rPr>
          <w:rFonts w:hint="eastAsia" w:ascii="黑体" w:hAnsi="黑体" w:eastAsia="黑体" w:cs="黑体"/>
          <w:spacing w:val="0"/>
          <w:sz w:val="32"/>
          <w:szCs w:val="32"/>
          <w:lang w:val="en-US" w:eastAsia="zh-CN"/>
        </w:rPr>
        <w:t>B</w:t>
      </w:r>
      <w:r>
        <w:rPr>
          <w:rFonts w:hint="eastAsia" w:ascii="黑体" w:hAnsi="黑体" w:eastAsia="黑体" w:cs="黑体"/>
          <w:spacing w:val="0"/>
          <w:sz w:val="32"/>
          <w:szCs w:val="32"/>
          <w:vertAlign w:val="subscript"/>
          <w:lang w:val="en-US" w:eastAsia="zh-CN"/>
        </w:rPr>
        <w:t>6</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黑体" w:cs="Times New Roman"/>
          <w:spacing w:val="0"/>
          <w:sz w:val="32"/>
          <w:szCs w:val="32"/>
          <w:lang w:val="en-US" w:eastAsia="zh-CN"/>
        </w:rPr>
      </w:pPr>
      <w:r>
        <w:rPr>
          <w:rFonts w:hint="default" w:ascii="Times New Roman" w:hAnsi="Times New Roman" w:eastAsia="仿宋_GB2312" w:cs="Times New Roman"/>
          <w:sz w:val="32"/>
          <w:szCs w:val="32"/>
          <w:lang w:val="en-US" w:eastAsia="zh-CN"/>
        </w:rPr>
        <w:t>维生素B</w:t>
      </w:r>
      <w:r>
        <w:rPr>
          <w:rFonts w:hint="default" w:ascii="Times New Roman" w:hAnsi="Times New Roman" w:eastAsia="仿宋_GB2312" w:cs="Times New Roman"/>
          <w:sz w:val="32"/>
          <w:szCs w:val="32"/>
          <w:vertAlign w:val="subscript"/>
          <w:lang w:val="en-US" w:eastAsia="zh-CN"/>
        </w:rPr>
        <w:t>6</w:t>
      </w:r>
      <w:r>
        <w:rPr>
          <w:rFonts w:hint="default" w:ascii="Times New Roman" w:hAnsi="Times New Roman" w:eastAsia="仿宋_GB2312" w:cs="Times New Roman"/>
          <w:sz w:val="32"/>
          <w:szCs w:val="32"/>
          <w:lang w:val="en-US" w:eastAsia="zh-CN"/>
        </w:rPr>
        <w:t>是一种水溶性维生素，主要以辅酶的形式参与人体内多种物质及能量代谢。维生素B</w:t>
      </w:r>
      <w:r>
        <w:rPr>
          <w:rFonts w:hint="default" w:ascii="Times New Roman" w:hAnsi="Times New Roman" w:eastAsia="仿宋_GB2312" w:cs="Times New Roman"/>
          <w:sz w:val="32"/>
          <w:szCs w:val="32"/>
          <w:vertAlign w:val="subscript"/>
          <w:lang w:val="en-US" w:eastAsia="zh-CN"/>
        </w:rPr>
        <w:t>6</w:t>
      </w:r>
      <w:r>
        <w:rPr>
          <w:rFonts w:hint="eastAsia" w:ascii="Times New Roman" w:hAnsi="Times New Roman" w:eastAsia="仿宋_GB2312" w:cs="Times New Roman"/>
          <w:sz w:val="32"/>
          <w:szCs w:val="32"/>
          <w:lang w:val="en-US" w:eastAsia="zh-CN"/>
        </w:rPr>
        <w:t>缺乏</w:t>
      </w:r>
      <w:r>
        <w:rPr>
          <w:rFonts w:hint="default" w:ascii="Times New Roman" w:hAnsi="Times New Roman" w:eastAsia="仿宋_GB2312" w:cs="Times New Roman"/>
          <w:sz w:val="32"/>
          <w:szCs w:val="32"/>
          <w:lang w:val="en-US" w:eastAsia="zh-CN"/>
        </w:rPr>
        <w:t>容易</w:t>
      </w:r>
      <w:r>
        <w:rPr>
          <w:rFonts w:hint="eastAsia" w:ascii="Times New Roman" w:hAnsi="Times New Roman" w:eastAsia="仿宋_GB2312" w:cs="Times New Roman"/>
          <w:sz w:val="32"/>
          <w:szCs w:val="32"/>
          <w:lang w:val="en-US" w:eastAsia="zh-CN"/>
        </w:rPr>
        <w:t>导致</w:t>
      </w:r>
      <w:r>
        <w:rPr>
          <w:rFonts w:hint="default" w:ascii="Times New Roman" w:hAnsi="Times New Roman" w:eastAsia="仿宋_GB2312" w:cs="Times New Roman"/>
          <w:sz w:val="32"/>
          <w:szCs w:val="32"/>
          <w:lang w:val="en-US" w:eastAsia="zh-CN"/>
        </w:rPr>
        <w:t>肌肉酸痛，身体疲惫。《食品安全国家标准 运动营养食品通则》（GB 24154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2015）中规定，运动营养食品中维生素B</w:t>
      </w:r>
      <w:r>
        <w:rPr>
          <w:rFonts w:hint="default" w:ascii="Times New Roman" w:hAnsi="Times New Roman" w:eastAsia="仿宋_GB2312" w:cs="Times New Roman"/>
          <w:sz w:val="32"/>
          <w:szCs w:val="32"/>
          <w:vertAlign w:val="subscript"/>
          <w:lang w:val="en-US" w:eastAsia="zh-CN"/>
        </w:rPr>
        <w:t>6</w:t>
      </w:r>
      <w:r>
        <w:rPr>
          <w:rFonts w:hint="default" w:ascii="Times New Roman" w:hAnsi="Times New Roman" w:eastAsia="仿宋_GB2312" w:cs="Times New Roman"/>
          <w:sz w:val="32"/>
          <w:szCs w:val="32"/>
          <w:lang w:val="en-US" w:eastAsia="zh-CN"/>
        </w:rPr>
        <w:t>含量（以每日计）应在0.2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2mg范围内，</w:t>
      </w:r>
      <w:r>
        <w:rPr>
          <w:rFonts w:hint="default" w:ascii="Times New Roman" w:hAnsi="Times New Roman" w:eastAsia="仿宋_GB2312" w:cs="Times New Roman"/>
          <w:sz w:val="32"/>
          <w:szCs w:val="32"/>
        </w:rPr>
        <w:t>且《食品安全国家标准 预包装特殊膳食用食品标签》（GB 13432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2013）中规定，在产品保质期内，能量和营养成分的实际含量不应低于标示值的80%。</w:t>
      </w:r>
      <w:r>
        <w:rPr>
          <w:rFonts w:hint="default" w:ascii="Times New Roman" w:hAnsi="Times New Roman" w:eastAsia="仿宋_GB2312" w:cs="Times New Roman"/>
          <w:sz w:val="32"/>
          <w:szCs w:val="32"/>
          <w:lang w:val="en-US" w:eastAsia="zh-CN"/>
        </w:rPr>
        <w:t>运动营养食品中维生素B</w:t>
      </w:r>
      <w:r>
        <w:rPr>
          <w:rFonts w:hint="default" w:ascii="Times New Roman" w:hAnsi="Times New Roman" w:eastAsia="仿宋_GB2312" w:cs="Times New Roman"/>
          <w:sz w:val="32"/>
          <w:szCs w:val="32"/>
          <w:vertAlign w:val="subscript"/>
          <w:lang w:val="en-US" w:eastAsia="zh-CN"/>
        </w:rPr>
        <w:t>6</w:t>
      </w:r>
      <w:r>
        <w:rPr>
          <w:rFonts w:hint="default" w:ascii="Times New Roman" w:hAnsi="Times New Roman" w:eastAsia="仿宋_GB2312" w:cs="Times New Roman"/>
          <w:sz w:val="32"/>
          <w:szCs w:val="32"/>
          <w:lang w:val="en-US" w:eastAsia="zh-CN"/>
        </w:rPr>
        <w:t>含量不达标的原因，可能是</w:t>
      </w:r>
      <w:r>
        <w:rPr>
          <w:rFonts w:hint="default" w:ascii="Times New Roman" w:hAnsi="Times New Roman" w:eastAsia="仿宋_GB2312" w:cs="Times New Roman"/>
          <w:sz w:val="32"/>
          <w:szCs w:val="32"/>
        </w:rPr>
        <w:t>原辅料用食品营养强化剂不</w:t>
      </w:r>
      <w:r>
        <w:rPr>
          <w:rFonts w:hint="default" w:ascii="Times New Roman" w:hAnsi="Times New Roman" w:eastAsia="仿宋_GB2312" w:cs="Times New Roman"/>
          <w:sz w:val="32"/>
          <w:szCs w:val="32"/>
          <w:lang w:eastAsia="zh-CN"/>
        </w:rPr>
        <w:t>符合</w:t>
      </w:r>
      <w:r>
        <w:rPr>
          <w:rFonts w:hint="default" w:ascii="Times New Roman" w:hAnsi="Times New Roman" w:eastAsia="仿宋_GB2312" w:cs="Times New Roman"/>
          <w:sz w:val="32"/>
          <w:szCs w:val="32"/>
        </w:rPr>
        <w:t>质量要求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也</w:t>
      </w:r>
      <w:r>
        <w:rPr>
          <w:rFonts w:hint="default" w:ascii="Times New Roman" w:hAnsi="Times New Roman" w:eastAsia="仿宋_GB2312" w:cs="Times New Roman"/>
          <w:sz w:val="32"/>
          <w:szCs w:val="32"/>
        </w:rPr>
        <w:t>可能是在加工或储存过程中损失。</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jc w:val="both"/>
        <w:textAlignment w:val="auto"/>
        <w:rPr>
          <w:rFonts w:hint="default" w:ascii="Times New Roman" w:hAnsi="Times New Roman" w:eastAsia="黑体" w:cs="Times New Roman"/>
          <w:spacing w:val="0"/>
          <w:sz w:val="32"/>
          <w:szCs w:val="32"/>
          <w:lang w:val="en-US" w:eastAsia="zh-CN"/>
        </w:rPr>
      </w:pPr>
      <w:r>
        <w:rPr>
          <w:rFonts w:hint="eastAsia" w:ascii="Times New Roman" w:hAnsi="Times New Roman" w:eastAsia="黑体" w:cs="Times New Roman"/>
          <w:spacing w:val="0"/>
          <w:sz w:val="32"/>
          <w:szCs w:val="32"/>
          <w:lang w:val="en-US" w:eastAsia="zh-CN"/>
        </w:rPr>
        <w:t>九</w:t>
      </w:r>
      <w:r>
        <w:rPr>
          <w:rFonts w:hint="default" w:ascii="Times New Roman" w:hAnsi="Times New Roman" w:eastAsia="黑体" w:cs="Times New Roman"/>
          <w:spacing w:val="0"/>
          <w:sz w:val="32"/>
          <w:szCs w:val="32"/>
        </w:rPr>
        <w:t>、</w:t>
      </w:r>
      <w:r>
        <w:rPr>
          <w:rFonts w:hint="default" w:ascii="Times New Roman" w:hAnsi="Times New Roman" w:eastAsia="黑体" w:cs="Times New Roman"/>
          <w:sz w:val="32"/>
          <w:szCs w:val="32"/>
          <w:lang w:val="en-US" w:eastAsia="zh-CN"/>
        </w:rPr>
        <w:t>维生素</w:t>
      </w:r>
      <w:r>
        <w:rPr>
          <w:rFonts w:hint="eastAsia" w:ascii="黑体" w:hAnsi="黑体" w:eastAsia="黑体" w:cs="黑体"/>
          <w:spacing w:val="0"/>
          <w:sz w:val="32"/>
          <w:szCs w:val="32"/>
          <w:lang w:val="en-US" w:eastAsia="zh-CN"/>
        </w:rPr>
        <w:t>B</w:t>
      </w:r>
      <w:r>
        <w:rPr>
          <w:rFonts w:hint="eastAsia" w:ascii="黑体" w:hAnsi="黑体" w:eastAsia="黑体" w:cs="黑体"/>
          <w:spacing w:val="0"/>
          <w:sz w:val="32"/>
          <w:szCs w:val="32"/>
          <w:vertAlign w:val="subscript"/>
          <w:lang w:val="en-US" w:eastAsia="zh-CN"/>
        </w:rPr>
        <w:t>1</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t>维生素B</w:t>
      </w:r>
      <w:r>
        <w:rPr>
          <w:rFonts w:hint="default" w:ascii="Times New Roman" w:hAnsi="Times New Roman" w:eastAsia="仿宋_GB2312" w:cs="Times New Roman"/>
          <w:kern w:val="2"/>
          <w:sz w:val="32"/>
          <w:szCs w:val="32"/>
          <w:vertAlign w:val="subscript"/>
          <w:lang w:val="en-US" w:eastAsia="zh-CN" w:bidi="ar-SA"/>
        </w:rPr>
        <w:t>1</w:t>
      </w:r>
      <w:r>
        <w:rPr>
          <w:rFonts w:hint="default" w:ascii="Times New Roman" w:hAnsi="Times New Roman" w:eastAsia="仿宋_GB2312" w:cs="Times New Roman"/>
          <w:kern w:val="2"/>
          <w:sz w:val="32"/>
          <w:szCs w:val="32"/>
          <w:lang w:val="en-US" w:eastAsia="zh-CN" w:bidi="ar-SA"/>
        </w:rPr>
        <w:t>是一种水溶性维生素，能够参与人体内能量代谢，对维持神经、肌肉特别是心肌正常功能方面有重要作用。维生素B</w:t>
      </w:r>
      <w:r>
        <w:rPr>
          <w:rFonts w:hint="default" w:ascii="Times New Roman" w:hAnsi="Times New Roman" w:eastAsia="仿宋_GB2312" w:cs="Times New Roman"/>
          <w:kern w:val="2"/>
          <w:sz w:val="32"/>
          <w:szCs w:val="32"/>
          <w:vertAlign w:val="subscript"/>
          <w:lang w:val="en-US" w:eastAsia="zh-CN" w:bidi="ar-SA"/>
        </w:rPr>
        <w:t>1</w:t>
      </w:r>
      <w:r>
        <w:rPr>
          <w:rFonts w:hint="default" w:ascii="Times New Roman" w:hAnsi="Times New Roman" w:eastAsia="仿宋_GB2312" w:cs="Times New Roman"/>
          <w:kern w:val="2"/>
          <w:sz w:val="32"/>
          <w:szCs w:val="32"/>
          <w:lang w:val="en-US" w:eastAsia="zh-CN" w:bidi="ar-SA"/>
        </w:rPr>
        <w:t>缺乏容易导致人体产生疲劳，还可能引起脚气病等神经</w:t>
      </w:r>
      <w:r>
        <w:rPr>
          <w:rFonts w:hint="eastAsia" w:ascii="仿宋_GB2312" w:hAnsi="仿宋_GB2312" w:eastAsia="仿宋_GB2312" w:cs="仿宋_GB2312"/>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血管系统损伤。</w:t>
      </w:r>
      <w:r>
        <w:rPr>
          <w:rFonts w:hint="default" w:ascii="Times New Roman" w:hAnsi="Times New Roman" w:eastAsia="仿宋_GB2312" w:cs="Times New Roman"/>
          <w:sz w:val="32"/>
          <w:szCs w:val="32"/>
          <w:lang w:val="en-US" w:eastAsia="zh-CN"/>
        </w:rPr>
        <w:t>《食品安全国家标准 运动营养食品通则》（GB 24154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2015）中规定，运动营养食品中维生素B</w:t>
      </w:r>
      <w:r>
        <w:rPr>
          <w:rFonts w:hint="default" w:ascii="Times New Roman" w:hAnsi="Times New Roman" w:eastAsia="仿宋_GB2312" w:cs="Times New Roman"/>
          <w:sz w:val="32"/>
          <w:szCs w:val="32"/>
          <w:vertAlign w:val="subscript"/>
          <w:lang w:val="en-US" w:eastAsia="zh-CN"/>
        </w:rPr>
        <w:t>1</w:t>
      </w:r>
      <w:r>
        <w:rPr>
          <w:rFonts w:hint="default" w:ascii="Times New Roman" w:hAnsi="Times New Roman" w:eastAsia="仿宋_GB2312" w:cs="Times New Roman"/>
          <w:sz w:val="32"/>
          <w:szCs w:val="32"/>
          <w:lang w:val="en-US" w:eastAsia="zh-CN"/>
        </w:rPr>
        <w:t>含量（以每日计）应在0.2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4mg范围内，</w:t>
      </w:r>
      <w:r>
        <w:rPr>
          <w:rFonts w:hint="default" w:ascii="Times New Roman" w:hAnsi="Times New Roman" w:eastAsia="仿宋_GB2312" w:cs="Times New Roman"/>
          <w:sz w:val="32"/>
          <w:szCs w:val="32"/>
        </w:rPr>
        <w:t>且《食品安全国家标准 预包装特殊膳食用食品标签》（GB 13432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2013）中规定，在产品保质期内，能量和营养成分的实际含量不应低于标示值的80%。</w:t>
      </w:r>
      <w:r>
        <w:rPr>
          <w:rFonts w:hint="default" w:ascii="Times New Roman" w:hAnsi="Times New Roman" w:eastAsia="仿宋_GB2312" w:cs="Times New Roman"/>
          <w:sz w:val="32"/>
          <w:szCs w:val="32"/>
          <w:lang w:val="en-US" w:eastAsia="zh-CN"/>
        </w:rPr>
        <w:t>运动营养食品中维生素B</w:t>
      </w:r>
      <w:r>
        <w:rPr>
          <w:rFonts w:hint="default" w:ascii="Times New Roman" w:hAnsi="Times New Roman" w:eastAsia="仿宋_GB2312" w:cs="Times New Roman"/>
          <w:sz w:val="32"/>
          <w:szCs w:val="32"/>
          <w:vertAlign w:val="subscript"/>
          <w:lang w:val="en-US" w:eastAsia="zh-CN"/>
        </w:rPr>
        <w:t>1</w:t>
      </w:r>
      <w:r>
        <w:rPr>
          <w:rFonts w:hint="default" w:ascii="Times New Roman" w:hAnsi="Times New Roman" w:eastAsia="仿宋_GB2312" w:cs="Times New Roman"/>
          <w:sz w:val="32"/>
          <w:szCs w:val="32"/>
          <w:lang w:val="en-US" w:eastAsia="zh-CN"/>
        </w:rPr>
        <w:t>含量不达标的原因，可能是</w:t>
      </w:r>
      <w:r>
        <w:rPr>
          <w:rFonts w:hint="default" w:ascii="Times New Roman" w:hAnsi="Times New Roman" w:eastAsia="仿宋_GB2312" w:cs="Times New Roman"/>
          <w:sz w:val="32"/>
          <w:szCs w:val="32"/>
        </w:rPr>
        <w:t>原辅料用食品营养强化剂不</w:t>
      </w:r>
      <w:r>
        <w:rPr>
          <w:rFonts w:hint="default" w:ascii="Times New Roman" w:hAnsi="Times New Roman" w:eastAsia="仿宋_GB2312" w:cs="Times New Roman"/>
          <w:sz w:val="32"/>
          <w:szCs w:val="32"/>
          <w:lang w:eastAsia="zh-CN"/>
        </w:rPr>
        <w:t>符合</w:t>
      </w:r>
      <w:r>
        <w:rPr>
          <w:rFonts w:hint="default" w:ascii="Times New Roman" w:hAnsi="Times New Roman" w:eastAsia="仿宋_GB2312" w:cs="Times New Roman"/>
          <w:sz w:val="32"/>
          <w:szCs w:val="32"/>
        </w:rPr>
        <w:t>质量要求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也</w:t>
      </w:r>
      <w:r>
        <w:rPr>
          <w:rFonts w:hint="default" w:ascii="Times New Roman" w:hAnsi="Times New Roman" w:eastAsia="仿宋_GB2312" w:cs="Times New Roman"/>
          <w:sz w:val="32"/>
          <w:szCs w:val="32"/>
        </w:rPr>
        <w:t>可能是在加工或储存过程中损失。</w:t>
      </w:r>
    </w:p>
    <w:p>
      <w:pPr>
        <w:keepNext w:val="0"/>
        <w:keepLines w:val="0"/>
        <w:pageBreakBefore w:val="0"/>
        <w:widowControl w:val="0"/>
        <w:kinsoku/>
        <w:wordWrap/>
        <w:overflowPunct/>
        <w:topLinePunct w:val="0"/>
        <w:autoSpaceDE/>
        <w:autoSpaceDN/>
        <w:bidi w:val="0"/>
        <w:adjustRightInd/>
        <w:snapToGrid/>
        <w:spacing w:line="594" w:lineRule="exact"/>
        <w:ind w:firstLine="592" w:firstLineChars="200"/>
        <w:textAlignment w:val="auto"/>
        <w:rPr>
          <w:rFonts w:hint="eastAsia" w:ascii="黑体" w:hAnsi="黑体" w:eastAsia="黑体" w:cs="黑体"/>
          <w:sz w:val="32"/>
          <w:szCs w:val="32"/>
          <w:lang w:val="en-US" w:eastAsia="zh-CN"/>
        </w:rPr>
      </w:pPr>
      <w:r>
        <w:rPr>
          <w:rFonts w:hint="eastAsia" w:ascii="黑体" w:hAnsi="黑体" w:eastAsia="黑体" w:cs="黑体"/>
          <w:spacing w:val="-12"/>
          <w:sz w:val="32"/>
          <w:szCs w:val="32"/>
          <w:lang w:val="en-US" w:eastAsia="zh-CN"/>
        </w:rPr>
        <w:t>十、锌</w:t>
      </w:r>
    </w:p>
    <w:p>
      <w:pPr>
        <w:pStyle w:val="2"/>
        <w:spacing w:after="0" w:line="594"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锌</w:t>
      </w:r>
      <w:r>
        <w:rPr>
          <w:rFonts w:hint="default" w:ascii="Times New Roman" w:hAnsi="Times New Roman" w:eastAsia="仿宋_GB2312" w:cs="Times New Roman"/>
          <w:sz w:val="32"/>
          <w:szCs w:val="32"/>
        </w:rPr>
        <w:t>是人体</w:t>
      </w:r>
      <w:r>
        <w:rPr>
          <w:rFonts w:hint="default" w:ascii="Times New Roman" w:hAnsi="Times New Roman" w:eastAsia="仿宋_GB2312" w:cs="Times New Roman"/>
          <w:sz w:val="32"/>
          <w:szCs w:val="32"/>
          <w:lang w:val="en-US" w:eastAsia="zh-CN"/>
        </w:rPr>
        <w:t>必需</w:t>
      </w:r>
      <w:r>
        <w:rPr>
          <w:rFonts w:hint="default" w:ascii="Times New Roman" w:hAnsi="Times New Roman" w:eastAsia="仿宋_GB2312" w:cs="Times New Roman"/>
          <w:sz w:val="32"/>
          <w:szCs w:val="32"/>
        </w:rPr>
        <w:t>的微量</w:t>
      </w:r>
      <w:r>
        <w:rPr>
          <w:rFonts w:hint="default" w:ascii="Times New Roman" w:hAnsi="Times New Roman" w:eastAsia="仿宋_GB2312" w:cs="Times New Roman"/>
          <w:sz w:val="32"/>
          <w:szCs w:val="32"/>
          <w:lang w:val="en-US" w:eastAsia="zh-CN"/>
        </w:rPr>
        <w:t>营养素，对</w:t>
      </w:r>
      <w:r>
        <w:rPr>
          <w:rFonts w:hint="eastAsia" w:ascii="Times New Roman" w:hAnsi="Times New Roman" w:eastAsia="仿宋_GB2312" w:cs="Times New Roman"/>
          <w:sz w:val="32"/>
          <w:szCs w:val="32"/>
          <w:lang w:val="en-US" w:eastAsia="zh-CN"/>
        </w:rPr>
        <w:t>生长</w:t>
      </w:r>
      <w:r>
        <w:rPr>
          <w:rFonts w:hint="default" w:ascii="Times New Roman" w:hAnsi="Times New Roman" w:eastAsia="仿宋_GB2312" w:cs="Times New Roman"/>
          <w:sz w:val="32"/>
          <w:szCs w:val="32"/>
          <w:lang w:val="en-US" w:eastAsia="zh-CN"/>
        </w:rPr>
        <w:t>发育、免疫功能、物质代谢等均有重要作用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锌缺乏可</w:t>
      </w:r>
      <w:r>
        <w:rPr>
          <w:rFonts w:hint="eastAsia" w:ascii="Times New Roman" w:hAnsi="Times New Roman" w:eastAsia="仿宋_GB2312" w:cs="Times New Roman"/>
          <w:sz w:val="32"/>
          <w:szCs w:val="32"/>
          <w:lang w:val="en-US" w:eastAsia="zh-CN"/>
        </w:rPr>
        <w:t>能</w:t>
      </w:r>
      <w:r>
        <w:rPr>
          <w:rFonts w:hint="default" w:ascii="Times New Roman" w:hAnsi="Times New Roman" w:eastAsia="仿宋_GB2312" w:cs="Times New Roman"/>
          <w:sz w:val="32"/>
          <w:szCs w:val="32"/>
          <w:lang w:val="en-US" w:eastAsia="zh-CN"/>
        </w:rPr>
        <w:t>导致味觉障碍、生长发育不良、皮肤干燥等症状。《食品安全国家标准 运动营养食品通则》（GB 24154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2015）中规定，运动营养食品中锌含量（以每日计）应在1.7</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12mg范围内，</w:t>
      </w:r>
      <w:r>
        <w:rPr>
          <w:rFonts w:hint="default" w:ascii="Times New Roman" w:hAnsi="Times New Roman" w:eastAsia="仿宋_GB2312" w:cs="Times New Roman"/>
          <w:sz w:val="32"/>
          <w:szCs w:val="32"/>
        </w:rPr>
        <w:t>且《食品安全国家标准 预包装特殊膳食用食品标签》（GB 13432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2013）中规定，在产品保质期内，能量和营养成分的实际含量不应低于标示值的80%。</w:t>
      </w:r>
      <w:r>
        <w:rPr>
          <w:rFonts w:hint="default" w:ascii="Times New Roman" w:hAnsi="Times New Roman" w:eastAsia="仿宋_GB2312" w:cs="Times New Roman"/>
          <w:sz w:val="32"/>
          <w:szCs w:val="32"/>
          <w:lang w:val="en-US" w:eastAsia="zh-CN"/>
        </w:rPr>
        <w:t>运动营养食品中锌含量</w:t>
      </w:r>
      <w:r>
        <w:rPr>
          <w:rFonts w:hint="eastAsia" w:ascii="Times New Roman" w:hAnsi="Times New Roman" w:eastAsia="仿宋_GB2312" w:cs="Times New Roman"/>
          <w:sz w:val="32"/>
          <w:szCs w:val="32"/>
          <w:lang w:val="en-US" w:eastAsia="zh-CN"/>
        </w:rPr>
        <w:t>超</w:t>
      </w:r>
      <w:r>
        <w:rPr>
          <w:rFonts w:hint="default" w:ascii="Times New Roman" w:hAnsi="Times New Roman" w:eastAsia="仿宋_GB2312" w:cs="Times New Roman"/>
          <w:sz w:val="32"/>
          <w:szCs w:val="32"/>
          <w:lang w:val="en-US" w:eastAsia="zh-CN"/>
        </w:rPr>
        <w:t>标的原因，可能是</w:t>
      </w:r>
      <w:r>
        <w:rPr>
          <w:rFonts w:hint="default" w:ascii="Times New Roman" w:hAnsi="Times New Roman" w:eastAsia="仿宋_GB2312" w:cs="Times New Roman"/>
          <w:sz w:val="32"/>
          <w:szCs w:val="32"/>
        </w:rPr>
        <w:t>原辅料用食品营养强化剂不</w:t>
      </w:r>
      <w:r>
        <w:rPr>
          <w:rFonts w:hint="default" w:ascii="Times New Roman" w:hAnsi="Times New Roman" w:eastAsia="仿宋_GB2312" w:cs="Times New Roman"/>
          <w:sz w:val="32"/>
          <w:szCs w:val="32"/>
          <w:lang w:eastAsia="zh-CN"/>
        </w:rPr>
        <w:t>符合</w:t>
      </w:r>
      <w:r>
        <w:rPr>
          <w:rFonts w:hint="default" w:ascii="Times New Roman" w:hAnsi="Times New Roman" w:eastAsia="仿宋_GB2312" w:cs="Times New Roman"/>
          <w:sz w:val="32"/>
          <w:szCs w:val="32"/>
        </w:rPr>
        <w:t>质量要求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也可能是</w:t>
      </w:r>
      <w:r>
        <w:rPr>
          <w:rFonts w:hint="default" w:ascii="Times New Roman" w:hAnsi="Times New Roman" w:eastAsia="仿宋_GB2312" w:cs="Times New Roman"/>
          <w:sz w:val="32"/>
          <w:szCs w:val="32"/>
        </w:rPr>
        <w:t>生产加工过程中搅拌不均匀。</w:t>
      </w:r>
    </w:p>
    <w:p>
      <w:pPr>
        <w:keepNext w:val="0"/>
        <w:keepLines w:val="0"/>
        <w:pageBreakBefore w:val="0"/>
        <w:widowControl w:val="0"/>
        <w:kinsoku/>
        <w:wordWrap/>
        <w:overflowPunct/>
        <w:topLinePunct w:val="0"/>
        <w:autoSpaceDE/>
        <w:autoSpaceDN/>
        <w:bidi w:val="0"/>
        <w:adjustRightInd/>
        <w:snapToGrid/>
        <w:spacing w:line="594" w:lineRule="exact"/>
        <w:ind w:firstLine="592" w:firstLineChars="200"/>
        <w:textAlignment w:val="auto"/>
        <w:rPr>
          <w:rFonts w:hint="eastAsia" w:ascii="黑体" w:hAnsi="黑体" w:eastAsia="黑体" w:cs="黑体"/>
          <w:sz w:val="32"/>
          <w:szCs w:val="32"/>
          <w:lang w:val="en-US" w:eastAsia="zh-CN"/>
        </w:rPr>
      </w:pPr>
      <w:r>
        <w:rPr>
          <w:rFonts w:hint="eastAsia" w:ascii="黑体" w:hAnsi="黑体" w:eastAsia="黑体" w:cs="黑体"/>
          <w:spacing w:val="-12"/>
          <w:sz w:val="32"/>
          <w:szCs w:val="32"/>
          <w:lang w:val="en-US" w:eastAsia="zh-CN"/>
        </w:rPr>
        <w:t>十一、钠</w:t>
      </w:r>
    </w:p>
    <w:p>
      <w:pPr>
        <w:pStyle w:val="2"/>
        <w:spacing w:after="0" w:line="594" w:lineRule="exac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钠是人体必需的</w:t>
      </w:r>
      <w:r>
        <w:rPr>
          <w:rFonts w:hint="eastAsia" w:ascii="Times New Roman" w:hAnsi="Times New Roman" w:eastAsia="仿宋_GB2312" w:cs="Times New Roman"/>
          <w:sz w:val="32"/>
          <w:szCs w:val="32"/>
          <w:lang w:val="en-US" w:eastAsia="zh-CN"/>
        </w:rPr>
        <w:t>常量元素</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钠离子在体内有助于维持渗透压和酸碱平衡，协助生理功能正常运作</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钠缺乏可能会导致食欲减退、倦怠、恶心呕吐、血压降低等。</w:t>
      </w:r>
      <w:r>
        <w:rPr>
          <w:rFonts w:hint="default" w:ascii="Times New Roman" w:hAnsi="Times New Roman" w:eastAsia="仿宋_GB2312" w:cs="Times New Roman"/>
          <w:sz w:val="32"/>
          <w:szCs w:val="32"/>
          <w:lang w:val="en-US" w:eastAsia="zh-CN"/>
        </w:rPr>
        <w:t>《食品安全国家标准 运动营养食品通则》（GB 24154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2015）</w:t>
      </w:r>
      <w:r>
        <w:rPr>
          <w:rFonts w:hint="eastAsia" w:ascii="Times New Roman" w:hAnsi="Times New Roman" w:eastAsia="仿宋_GB2312" w:cs="Times New Roman"/>
          <w:sz w:val="32"/>
          <w:szCs w:val="32"/>
        </w:rPr>
        <w:t>中规定，</w:t>
      </w:r>
      <w:r>
        <w:rPr>
          <w:rFonts w:hint="eastAsia" w:ascii="Times New Roman" w:hAnsi="Times New Roman" w:eastAsia="仿宋_GB2312" w:cs="Times New Roman"/>
          <w:sz w:val="32"/>
          <w:szCs w:val="32"/>
          <w:lang w:val="en-US" w:eastAsia="zh-CN"/>
        </w:rPr>
        <w:t>没有特别添加钠营养素的运动营养食品中</w:t>
      </w:r>
      <w:r>
        <w:rPr>
          <w:rFonts w:hint="eastAsia" w:ascii="Times New Roman" w:hAnsi="Times New Roman" w:eastAsia="仿宋_GB2312" w:cs="Times New Roman"/>
          <w:sz w:val="32"/>
          <w:szCs w:val="32"/>
        </w:rPr>
        <w:t>钠</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lang w:val="en-US" w:eastAsia="zh-CN"/>
        </w:rPr>
        <w:t>最大含量</w:t>
      </w:r>
      <w:r>
        <w:rPr>
          <w:rFonts w:hint="default" w:ascii="Times New Roman" w:hAnsi="Times New Roman" w:eastAsia="仿宋_GB2312" w:cs="Times New Roman"/>
          <w:sz w:val="32"/>
          <w:szCs w:val="32"/>
          <w:lang w:val="en-US" w:eastAsia="zh-CN"/>
        </w:rPr>
        <w:t>（以每日计）</w:t>
      </w:r>
      <w:r>
        <w:rPr>
          <w:rFonts w:hint="eastAsia" w:ascii="Times New Roman" w:hAnsi="Times New Roman" w:eastAsia="仿宋_GB2312" w:cs="Times New Roman"/>
          <w:sz w:val="32"/>
          <w:szCs w:val="32"/>
        </w:rPr>
        <w:t>为</w:t>
      </w:r>
      <w:r>
        <w:rPr>
          <w:rFonts w:hint="eastAsia" w:ascii="Times New Roman" w:hAnsi="Times New Roman" w:eastAsia="仿宋_GB2312" w:cs="Times New Roman"/>
          <w:sz w:val="32"/>
          <w:szCs w:val="32"/>
          <w:lang w:val="en-US" w:eastAsia="zh-CN"/>
        </w:rPr>
        <w:t>1600</w:t>
      </w:r>
      <w:r>
        <w:rPr>
          <w:rFonts w:hint="eastAsia" w:ascii="Times New Roman" w:hAnsi="Times New Roman" w:eastAsia="仿宋_GB2312" w:cs="Times New Roman"/>
          <w:sz w:val="32"/>
          <w:szCs w:val="32"/>
        </w:rPr>
        <w:t>mg，</w:t>
      </w:r>
      <w:r>
        <w:rPr>
          <w:rFonts w:hint="eastAsia" w:ascii="Times New Roman" w:hAnsi="Times New Roman" w:eastAsia="仿宋_GB2312" w:cs="Times New Roman"/>
          <w:sz w:val="32"/>
          <w:szCs w:val="32"/>
          <w:lang w:val="en-US" w:eastAsia="zh-CN"/>
        </w:rPr>
        <w:t>且</w:t>
      </w:r>
      <w:r>
        <w:rPr>
          <w:rFonts w:hint="default" w:ascii="Times New Roman" w:hAnsi="Times New Roman" w:eastAsia="仿宋_GB2312" w:cs="Times New Roman"/>
          <w:sz w:val="32"/>
          <w:szCs w:val="32"/>
        </w:rPr>
        <w:t>《食品安全国家标准 预包装特殊膳食用食品标签》（GB 13432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2013）中规定，</w:t>
      </w:r>
      <w:r>
        <w:rPr>
          <w:rFonts w:hint="default" w:ascii="Times New Roman" w:hAnsi="Times New Roman" w:eastAsia="仿宋_GB2312" w:cs="Times New Roman"/>
          <w:sz w:val="32"/>
        </w:rPr>
        <w:t>在产品保质期内，能量和营养成分的实际含量不应低于标示值的80%</w:t>
      </w:r>
      <w:r>
        <w:rPr>
          <w:rFonts w:hint="default" w:ascii="Times New Roman" w:hAnsi="Times New Roman" w:eastAsia="仿宋_GB2312" w:cs="Times New Roman"/>
          <w:sz w:val="32"/>
          <w:lang w:eastAsia="zh-CN"/>
        </w:rPr>
        <w:t>。</w:t>
      </w:r>
      <w:r>
        <w:rPr>
          <w:rFonts w:hint="eastAsia" w:ascii="Times New Roman" w:hAnsi="Times New Roman" w:eastAsia="仿宋_GB2312" w:cs="Times New Roman"/>
          <w:sz w:val="32"/>
          <w:szCs w:val="32"/>
          <w:lang w:val="en-US" w:eastAsia="zh-CN"/>
        </w:rPr>
        <w:t>运动营养食品</w:t>
      </w:r>
      <w:r>
        <w:rPr>
          <w:rFonts w:hint="eastAsia" w:ascii="Times New Roman" w:hAnsi="Times New Roman" w:eastAsia="仿宋_GB2312" w:cs="Times New Roman"/>
          <w:sz w:val="32"/>
          <w:szCs w:val="32"/>
        </w:rPr>
        <w:t>中钠含量不达标</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rPr>
        <w:t>原因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rPr>
        <w:t>可能是生产工艺不合理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也可能是产品标签标注不规范</w:t>
      </w:r>
      <w:r>
        <w:rPr>
          <w:rFonts w:ascii="Times New Roman" w:hAnsi="Times New Roman" w:eastAsia="仿宋_GB2312" w:cs="Times New Roman"/>
          <w:sz w:val="32"/>
          <w:szCs w:val="32"/>
        </w:rPr>
        <w:t>。</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0792034"/>
    </w:sdtPr>
    <w:sdtEndPr>
      <w:rPr>
        <w:lang w:val="zh-CN"/>
      </w:rPr>
    </w:sdtEndPr>
    <w:sdtContent>
      <w:p>
        <w:pPr>
          <w:pStyle w:val="6"/>
          <w:jc w:val="center"/>
          <w:rPr>
            <w:lang w:val="zh-CN"/>
          </w:rPr>
        </w:pPr>
        <w:r>
          <w:rPr>
            <w:lang w:val="zh-CN"/>
          </w:rPr>
          <w:fldChar w:fldCharType="begin"/>
        </w:r>
        <w:r>
          <w:rPr>
            <w:lang w:val="zh-CN"/>
          </w:rPr>
          <w:instrText xml:space="preserve">PAGE   \* MERGEFORMAT</w:instrText>
        </w:r>
        <w:r>
          <w:rPr>
            <w:lang w:val="zh-CN"/>
          </w:rPr>
          <w:fldChar w:fldCharType="separate"/>
        </w:r>
        <w:r>
          <w:rPr>
            <w:lang w:val="zh-CN"/>
          </w:rPr>
          <w:t>3</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1Nzk0NGJjYjlhZTdmZjU0YmM5NTY3ODhkYTUwMzcifQ=="/>
  </w:docVars>
  <w:rsids>
    <w:rsidRoot w:val="052446EE"/>
    <w:rsid w:val="00020497"/>
    <w:rsid w:val="00024C6D"/>
    <w:rsid w:val="00043432"/>
    <w:rsid w:val="00043867"/>
    <w:rsid w:val="00053AE6"/>
    <w:rsid w:val="00083C9A"/>
    <w:rsid w:val="000A1FB4"/>
    <w:rsid w:val="000B21AE"/>
    <w:rsid w:val="000B4026"/>
    <w:rsid w:val="000B4DAD"/>
    <w:rsid w:val="000C502F"/>
    <w:rsid w:val="000C6083"/>
    <w:rsid w:val="000D1C58"/>
    <w:rsid w:val="000D34F7"/>
    <w:rsid w:val="000F7117"/>
    <w:rsid w:val="0010216A"/>
    <w:rsid w:val="00107958"/>
    <w:rsid w:val="00110259"/>
    <w:rsid w:val="001220AD"/>
    <w:rsid w:val="00123FF4"/>
    <w:rsid w:val="00131A76"/>
    <w:rsid w:val="0013226B"/>
    <w:rsid w:val="0015275C"/>
    <w:rsid w:val="001727C1"/>
    <w:rsid w:val="00177381"/>
    <w:rsid w:val="0019592F"/>
    <w:rsid w:val="001C1A51"/>
    <w:rsid w:val="001D168E"/>
    <w:rsid w:val="001D3191"/>
    <w:rsid w:val="001E3878"/>
    <w:rsid w:val="001E40B2"/>
    <w:rsid w:val="001F4428"/>
    <w:rsid w:val="001F5BDC"/>
    <w:rsid w:val="0024004A"/>
    <w:rsid w:val="00242E9A"/>
    <w:rsid w:val="00244971"/>
    <w:rsid w:val="0025796E"/>
    <w:rsid w:val="002849D1"/>
    <w:rsid w:val="00287BFF"/>
    <w:rsid w:val="002A1219"/>
    <w:rsid w:val="002A2616"/>
    <w:rsid w:val="002A3534"/>
    <w:rsid w:val="002D0E99"/>
    <w:rsid w:val="002D2E25"/>
    <w:rsid w:val="00305C48"/>
    <w:rsid w:val="00312A7A"/>
    <w:rsid w:val="0033388D"/>
    <w:rsid w:val="003347AE"/>
    <w:rsid w:val="00336B1D"/>
    <w:rsid w:val="00343C07"/>
    <w:rsid w:val="00363809"/>
    <w:rsid w:val="00375893"/>
    <w:rsid w:val="00390C6C"/>
    <w:rsid w:val="003B1570"/>
    <w:rsid w:val="003C27DE"/>
    <w:rsid w:val="003F22EE"/>
    <w:rsid w:val="00415A66"/>
    <w:rsid w:val="00423285"/>
    <w:rsid w:val="00434D14"/>
    <w:rsid w:val="00452EBB"/>
    <w:rsid w:val="0049668F"/>
    <w:rsid w:val="004A228F"/>
    <w:rsid w:val="004B4C0B"/>
    <w:rsid w:val="004C3F64"/>
    <w:rsid w:val="004F17CC"/>
    <w:rsid w:val="0050201A"/>
    <w:rsid w:val="00503C7B"/>
    <w:rsid w:val="00533D1D"/>
    <w:rsid w:val="005557BE"/>
    <w:rsid w:val="00560DD5"/>
    <w:rsid w:val="0056128C"/>
    <w:rsid w:val="005A1446"/>
    <w:rsid w:val="005B036E"/>
    <w:rsid w:val="005C72E8"/>
    <w:rsid w:val="005E1899"/>
    <w:rsid w:val="005E36FE"/>
    <w:rsid w:val="005E5714"/>
    <w:rsid w:val="005F4FE7"/>
    <w:rsid w:val="006000A5"/>
    <w:rsid w:val="00601F5C"/>
    <w:rsid w:val="0062795C"/>
    <w:rsid w:val="006417C9"/>
    <w:rsid w:val="00674436"/>
    <w:rsid w:val="00681D0D"/>
    <w:rsid w:val="00687989"/>
    <w:rsid w:val="006E2F89"/>
    <w:rsid w:val="006E6218"/>
    <w:rsid w:val="006F0D6D"/>
    <w:rsid w:val="006F22C8"/>
    <w:rsid w:val="006F3B40"/>
    <w:rsid w:val="00704F64"/>
    <w:rsid w:val="00725909"/>
    <w:rsid w:val="007400B0"/>
    <w:rsid w:val="00751527"/>
    <w:rsid w:val="007535B9"/>
    <w:rsid w:val="007576ED"/>
    <w:rsid w:val="00760BDF"/>
    <w:rsid w:val="0077656B"/>
    <w:rsid w:val="007822C5"/>
    <w:rsid w:val="00792534"/>
    <w:rsid w:val="007C73DC"/>
    <w:rsid w:val="007D0852"/>
    <w:rsid w:val="007F55A3"/>
    <w:rsid w:val="007F6A2F"/>
    <w:rsid w:val="00802F57"/>
    <w:rsid w:val="00812F54"/>
    <w:rsid w:val="008270FB"/>
    <w:rsid w:val="0082773A"/>
    <w:rsid w:val="00895609"/>
    <w:rsid w:val="008A22C6"/>
    <w:rsid w:val="008A2568"/>
    <w:rsid w:val="008C1383"/>
    <w:rsid w:val="008C3F7A"/>
    <w:rsid w:val="008D3AA0"/>
    <w:rsid w:val="008E762E"/>
    <w:rsid w:val="008F0056"/>
    <w:rsid w:val="00903A84"/>
    <w:rsid w:val="00906A8C"/>
    <w:rsid w:val="00933FC6"/>
    <w:rsid w:val="00950CBE"/>
    <w:rsid w:val="009568FF"/>
    <w:rsid w:val="00967245"/>
    <w:rsid w:val="00980954"/>
    <w:rsid w:val="009809DA"/>
    <w:rsid w:val="00981C27"/>
    <w:rsid w:val="009941B3"/>
    <w:rsid w:val="009D2294"/>
    <w:rsid w:val="009D56C5"/>
    <w:rsid w:val="009E2E64"/>
    <w:rsid w:val="009F42E5"/>
    <w:rsid w:val="009F75A8"/>
    <w:rsid w:val="00A0189E"/>
    <w:rsid w:val="00A12057"/>
    <w:rsid w:val="00A655ED"/>
    <w:rsid w:val="00A72D59"/>
    <w:rsid w:val="00A819D9"/>
    <w:rsid w:val="00A858FD"/>
    <w:rsid w:val="00A8639F"/>
    <w:rsid w:val="00AE2978"/>
    <w:rsid w:val="00AE3415"/>
    <w:rsid w:val="00AE4163"/>
    <w:rsid w:val="00AE443A"/>
    <w:rsid w:val="00AF3D26"/>
    <w:rsid w:val="00B02836"/>
    <w:rsid w:val="00B17403"/>
    <w:rsid w:val="00B26756"/>
    <w:rsid w:val="00B30079"/>
    <w:rsid w:val="00B342D4"/>
    <w:rsid w:val="00B46A7C"/>
    <w:rsid w:val="00B56A64"/>
    <w:rsid w:val="00B734B6"/>
    <w:rsid w:val="00B82BD1"/>
    <w:rsid w:val="00B83167"/>
    <w:rsid w:val="00BA50EB"/>
    <w:rsid w:val="00BE4729"/>
    <w:rsid w:val="00C05D47"/>
    <w:rsid w:val="00C10FA4"/>
    <w:rsid w:val="00C22080"/>
    <w:rsid w:val="00C277F9"/>
    <w:rsid w:val="00C35F32"/>
    <w:rsid w:val="00C425FB"/>
    <w:rsid w:val="00C47869"/>
    <w:rsid w:val="00C52899"/>
    <w:rsid w:val="00C53768"/>
    <w:rsid w:val="00C71CF8"/>
    <w:rsid w:val="00C82E32"/>
    <w:rsid w:val="00C95DA4"/>
    <w:rsid w:val="00CD2658"/>
    <w:rsid w:val="00CD5EC3"/>
    <w:rsid w:val="00CE26B0"/>
    <w:rsid w:val="00CE296E"/>
    <w:rsid w:val="00D026A1"/>
    <w:rsid w:val="00D0282A"/>
    <w:rsid w:val="00D02ED8"/>
    <w:rsid w:val="00D172AA"/>
    <w:rsid w:val="00D17FA8"/>
    <w:rsid w:val="00D221B8"/>
    <w:rsid w:val="00D25ABD"/>
    <w:rsid w:val="00D407AC"/>
    <w:rsid w:val="00D44653"/>
    <w:rsid w:val="00D550F5"/>
    <w:rsid w:val="00D716C1"/>
    <w:rsid w:val="00D75D39"/>
    <w:rsid w:val="00D940B0"/>
    <w:rsid w:val="00DB0F7D"/>
    <w:rsid w:val="00DB3515"/>
    <w:rsid w:val="00DB7633"/>
    <w:rsid w:val="00DB7982"/>
    <w:rsid w:val="00DC4018"/>
    <w:rsid w:val="00DD03EA"/>
    <w:rsid w:val="00DD59C8"/>
    <w:rsid w:val="00DD7C24"/>
    <w:rsid w:val="00E01EB3"/>
    <w:rsid w:val="00E07B1F"/>
    <w:rsid w:val="00E16D89"/>
    <w:rsid w:val="00E45266"/>
    <w:rsid w:val="00E5453C"/>
    <w:rsid w:val="00E651D8"/>
    <w:rsid w:val="00E66BDB"/>
    <w:rsid w:val="00E721EF"/>
    <w:rsid w:val="00E73511"/>
    <w:rsid w:val="00E81D4E"/>
    <w:rsid w:val="00E90919"/>
    <w:rsid w:val="00EA2C6D"/>
    <w:rsid w:val="00EB1898"/>
    <w:rsid w:val="00EB2DC4"/>
    <w:rsid w:val="00ED0033"/>
    <w:rsid w:val="00EE4D2C"/>
    <w:rsid w:val="00EF6290"/>
    <w:rsid w:val="00F009DD"/>
    <w:rsid w:val="00F10843"/>
    <w:rsid w:val="00F129A7"/>
    <w:rsid w:val="00F1663E"/>
    <w:rsid w:val="00F407C3"/>
    <w:rsid w:val="00F502BA"/>
    <w:rsid w:val="00F73C8B"/>
    <w:rsid w:val="00F748C1"/>
    <w:rsid w:val="00F84AAD"/>
    <w:rsid w:val="00F935EF"/>
    <w:rsid w:val="00F94FE6"/>
    <w:rsid w:val="00FA2106"/>
    <w:rsid w:val="00FA4809"/>
    <w:rsid w:val="00FB1217"/>
    <w:rsid w:val="00FB53DF"/>
    <w:rsid w:val="00FB60C0"/>
    <w:rsid w:val="01A56D4B"/>
    <w:rsid w:val="01C40DDD"/>
    <w:rsid w:val="02661E94"/>
    <w:rsid w:val="028D1A14"/>
    <w:rsid w:val="02EE52CA"/>
    <w:rsid w:val="038F0445"/>
    <w:rsid w:val="03A414C8"/>
    <w:rsid w:val="04025BED"/>
    <w:rsid w:val="04294F27"/>
    <w:rsid w:val="043132CE"/>
    <w:rsid w:val="04B16515"/>
    <w:rsid w:val="052446EE"/>
    <w:rsid w:val="053242B0"/>
    <w:rsid w:val="05462D97"/>
    <w:rsid w:val="055E15B3"/>
    <w:rsid w:val="05907CAB"/>
    <w:rsid w:val="06A61BD4"/>
    <w:rsid w:val="06FC4B75"/>
    <w:rsid w:val="070639D0"/>
    <w:rsid w:val="0722265B"/>
    <w:rsid w:val="07265873"/>
    <w:rsid w:val="07A30962"/>
    <w:rsid w:val="07DA160B"/>
    <w:rsid w:val="081C479D"/>
    <w:rsid w:val="089E37AF"/>
    <w:rsid w:val="09FE6495"/>
    <w:rsid w:val="0AAD48BF"/>
    <w:rsid w:val="0ADC3742"/>
    <w:rsid w:val="0B437A81"/>
    <w:rsid w:val="0BC8771C"/>
    <w:rsid w:val="0BCF39F7"/>
    <w:rsid w:val="0C2A1C3C"/>
    <w:rsid w:val="0C2D133B"/>
    <w:rsid w:val="0C364B74"/>
    <w:rsid w:val="0CD40A10"/>
    <w:rsid w:val="0CF0645F"/>
    <w:rsid w:val="0E092D0B"/>
    <w:rsid w:val="0EC81837"/>
    <w:rsid w:val="0F5238B5"/>
    <w:rsid w:val="0FEB509E"/>
    <w:rsid w:val="0FF5732E"/>
    <w:rsid w:val="102D3FF1"/>
    <w:rsid w:val="103364D3"/>
    <w:rsid w:val="10625608"/>
    <w:rsid w:val="108233AD"/>
    <w:rsid w:val="10A511DC"/>
    <w:rsid w:val="10C75499"/>
    <w:rsid w:val="10F93D79"/>
    <w:rsid w:val="111C434C"/>
    <w:rsid w:val="11A245C9"/>
    <w:rsid w:val="11A552D9"/>
    <w:rsid w:val="11AD305F"/>
    <w:rsid w:val="12076629"/>
    <w:rsid w:val="12D22C2E"/>
    <w:rsid w:val="12FD4DF0"/>
    <w:rsid w:val="130B5CD4"/>
    <w:rsid w:val="133001AE"/>
    <w:rsid w:val="134D526F"/>
    <w:rsid w:val="156E0206"/>
    <w:rsid w:val="160A5910"/>
    <w:rsid w:val="17033CEF"/>
    <w:rsid w:val="1722569F"/>
    <w:rsid w:val="178C1298"/>
    <w:rsid w:val="19067FF8"/>
    <w:rsid w:val="19977A4A"/>
    <w:rsid w:val="19D6063F"/>
    <w:rsid w:val="1A907481"/>
    <w:rsid w:val="1AEC7B0C"/>
    <w:rsid w:val="1B03607B"/>
    <w:rsid w:val="1B2E77B1"/>
    <w:rsid w:val="1B3D7278"/>
    <w:rsid w:val="1D513069"/>
    <w:rsid w:val="1D6C2FCD"/>
    <w:rsid w:val="1DA014D7"/>
    <w:rsid w:val="1DF6698D"/>
    <w:rsid w:val="1E0B5C9C"/>
    <w:rsid w:val="1E37319B"/>
    <w:rsid w:val="1E9157FB"/>
    <w:rsid w:val="1F961D6E"/>
    <w:rsid w:val="1FA03EF4"/>
    <w:rsid w:val="1FF5604A"/>
    <w:rsid w:val="1FF77807"/>
    <w:rsid w:val="2059449C"/>
    <w:rsid w:val="20BC665B"/>
    <w:rsid w:val="20C11697"/>
    <w:rsid w:val="20DF2D7E"/>
    <w:rsid w:val="20E97796"/>
    <w:rsid w:val="21372698"/>
    <w:rsid w:val="22E67475"/>
    <w:rsid w:val="239D06F1"/>
    <w:rsid w:val="23D113E8"/>
    <w:rsid w:val="24235EAA"/>
    <w:rsid w:val="247A6FAA"/>
    <w:rsid w:val="249D47DC"/>
    <w:rsid w:val="259E23E3"/>
    <w:rsid w:val="26314ACD"/>
    <w:rsid w:val="266C5903"/>
    <w:rsid w:val="269D741C"/>
    <w:rsid w:val="27584E00"/>
    <w:rsid w:val="27894434"/>
    <w:rsid w:val="27C43035"/>
    <w:rsid w:val="27CF1A25"/>
    <w:rsid w:val="294A7F7D"/>
    <w:rsid w:val="29F8276D"/>
    <w:rsid w:val="29FB7D70"/>
    <w:rsid w:val="2A53594F"/>
    <w:rsid w:val="2ABF7615"/>
    <w:rsid w:val="2AEB7548"/>
    <w:rsid w:val="2AF42F2E"/>
    <w:rsid w:val="2BD07C59"/>
    <w:rsid w:val="2CD74E22"/>
    <w:rsid w:val="2CE70F66"/>
    <w:rsid w:val="2D7D16EA"/>
    <w:rsid w:val="2E4243E1"/>
    <w:rsid w:val="2F033EB0"/>
    <w:rsid w:val="2F2C68FC"/>
    <w:rsid w:val="2F9B35E3"/>
    <w:rsid w:val="2FDD066F"/>
    <w:rsid w:val="30706BFB"/>
    <w:rsid w:val="30730D18"/>
    <w:rsid w:val="308001C6"/>
    <w:rsid w:val="30AC7B38"/>
    <w:rsid w:val="31252E3F"/>
    <w:rsid w:val="31FD11FC"/>
    <w:rsid w:val="33844E91"/>
    <w:rsid w:val="33BA14BA"/>
    <w:rsid w:val="34516D2E"/>
    <w:rsid w:val="34DB4439"/>
    <w:rsid w:val="34F97B15"/>
    <w:rsid w:val="36256509"/>
    <w:rsid w:val="36AD5E36"/>
    <w:rsid w:val="36BB0136"/>
    <w:rsid w:val="36BB4D35"/>
    <w:rsid w:val="37E01180"/>
    <w:rsid w:val="37E56DDC"/>
    <w:rsid w:val="38933D71"/>
    <w:rsid w:val="38AA3B42"/>
    <w:rsid w:val="394C2E8B"/>
    <w:rsid w:val="39673EBA"/>
    <w:rsid w:val="3A4A0926"/>
    <w:rsid w:val="3A8A5A19"/>
    <w:rsid w:val="3AA478AB"/>
    <w:rsid w:val="3B2D45F6"/>
    <w:rsid w:val="3C2512EE"/>
    <w:rsid w:val="3C432FF1"/>
    <w:rsid w:val="3C4B12A5"/>
    <w:rsid w:val="3C4D2E8B"/>
    <w:rsid w:val="3C81270D"/>
    <w:rsid w:val="3DD57988"/>
    <w:rsid w:val="3E56682C"/>
    <w:rsid w:val="3ED05834"/>
    <w:rsid w:val="3EF229BA"/>
    <w:rsid w:val="3FA01312"/>
    <w:rsid w:val="3FED319C"/>
    <w:rsid w:val="401234CD"/>
    <w:rsid w:val="405B301B"/>
    <w:rsid w:val="408B4949"/>
    <w:rsid w:val="40F962F7"/>
    <w:rsid w:val="41025C20"/>
    <w:rsid w:val="411B6563"/>
    <w:rsid w:val="4218656A"/>
    <w:rsid w:val="4236267D"/>
    <w:rsid w:val="42BC2694"/>
    <w:rsid w:val="44120B90"/>
    <w:rsid w:val="446C036D"/>
    <w:rsid w:val="448604CB"/>
    <w:rsid w:val="44921DE2"/>
    <w:rsid w:val="44CE64DA"/>
    <w:rsid w:val="45562D9B"/>
    <w:rsid w:val="45AF268C"/>
    <w:rsid w:val="463A646A"/>
    <w:rsid w:val="46994A91"/>
    <w:rsid w:val="46CC3297"/>
    <w:rsid w:val="471E6356"/>
    <w:rsid w:val="47242D51"/>
    <w:rsid w:val="47D450E7"/>
    <w:rsid w:val="47D93B1F"/>
    <w:rsid w:val="48CD06B6"/>
    <w:rsid w:val="48D63B60"/>
    <w:rsid w:val="494C3F8C"/>
    <w:rsid w:val="494E4E79"/>
    <w:rsid w:val="495138DA"/>
    <w:rsid w:val="497763FD"/>
    <w:rsid w:val="49B00079"/>
    <w:rsid w:val="49D57EE1"/>
    <w:rsid w:val="4A612A04"/>
    <w:rsid w:val="4ADC5E51"/>
    <w:rsid w:val="4B5D2CD5"/>
    <w:rsid w:val="4C544655"/>
    <w:rsid w:val="4C9204E2"/>
    <w:rsid w:val="4C95329C"/>
    <w:rsid w:val="4CA036CC"/>
    <w:rsid w:val="4CB7255F"/>
    <w:rsid w:val="4D2968B7"/>
    <w:rsid w:val="4D5B1BD1"/>
    <w:rsid w:val="4D61085B"/>
    <w:rsid w:val="4D96357F"/>
    <w:rsid w:val="4DF711BF"/>
    <w:rsid w:val="4E196222"/>
    <w:rsid w:val="4E8159AF"/>
    <w:rsid w:val="4ED53EED"/>
    <w:rsid w:val="4EFB0F58"/>
    <w:rsid w:val="4F69410F"/>
    <w:rsid w:val="4FAF363F"/>
    <w:rsid w:val="4FDF48D9"/>
    <w:rsid w:val="4FE173F8"/>
    <w:rsid w:val="50B25B41"/>
    <w:rsid w:val="50BC54AF"/>
    <w:rsid w:val="514C2084"/>
    <w:rsid w:val="51861C65"/>
    <w:rsid w:val="51B24EEC"/>
    <w:rsid w:val="51B43769"/>
    <w:rsid w:val="51BC1E2A"/>
    <w:rsid w:val="52FD335B"/>
    <w:rsid w:val="532062CE"/>
    <w:rsid w:val="533407C0"/>
    <w:rsid w:val="5387412A"/>
    <w:rsid w:val="53FD2F44"/>
    <w:rsid w:val="53FF0DCE"/>
    <w:rsid w:val="54544D6D"/>
    <w:rsid w:val="545804DE"/>
    <w:rsid w:val="56A276D0"/>
    <w:rsid w:val="57B03788"/>
    <w:rsid w:val="57F401E5"/>
    <w:rsid w:val="580C5E2D"/>
    <w:rsid w:val="58873140"/>
    <w:rsid w:val="588C340E"/>
    <w:rsid w:val="58A7355C"/>
    <w:rsid w:val="5917309A"/>
    <w:rsid w:val="592526F4"/>
    <w:rsid w:val="59840098"/>
    <w:rsid w:val="59D04F91"/>
    <w:rsid w:val="5AB741B0"/>
    <w:rsid w:val="5B035A3A"/>
    <w:rsid w:val="5B9E651D"/>
    <w:rsid w:val="5BE41C7F"/>
    <w:rsid w:val="5C435B8D"/>
    <w:rsid w:val="5CD643C2"/>
    <w:rsid w:val="5D3C5BA5"/>
    <w:rsid w:val="5DA1645E"/>
    <w:rsid w:val="5E14229A"/>
    <w:rsid w:val="5E38554B"/>
    <w:rsid w:val="5E5431CD"/>
    <w:rsid w:val="63213BB4"/>
    <w:rsid w:val="63BA5678"/>
    <w:rsid w:val="64165519"/>
    <w:rsid w:val="643200F6"/>
    <w:rsid w:val="64CE046B"/>
    <w:rsid w:val="64D82E8B"/>
    <w:rsid w:val="653E7950"/>
    <w:rsid w:val="676770CE"/>
    <w:rsid w:val="679E2A0F"/>
    <w:rsid w:val="69872FA0"/>
    <w:rsid w:val="69C7211C"/>
    <w:rsid w:val="6B487B7E"/>
    <w:rsid w:val="6B997EDF"/>
    <w:rsid w:val="6BA50B91"/>
    <w:rsid w:val="6BC54056"/>
    <w:rsid w:val="6C8F263F"/>
    <w:rsid w:val="6D3323BC"/>
    <w:rsid w:val="6E0D279D"/>
    <w:rsid w:val="6E9D44F7"/>
    <w:rsid w:val="6EFF5CCE"/>
    <w:rsid w:val="6F7C56DB"/>
    <w:rsid w:val="707961D1"/>
    <w:rsid w:val="70CF7EE0"/>
    <w:rsid w:val="71052DB8"/>
    <w:rsid w:val="71346E5A"/>
    <w:rsid w:val="72404633"/>
    <w:rsid w:val="728D7A35"/>
    <w:rsid w:val="72ED6B92"/>
    <w:rsid w:val="735D6752"/>
    <w:rsid w:val="73712CCC"/>
    <w:rsid w:val="739C3AEB"/>
    <w:rsid w:val="73A155A6"/>
    <w:rsid w:val="73F64CEB"/>
    <w:rsid w:val="741C16EF"/>
    <w:rsid w:val="743531C2"/>
    <w:rsid w:val="743B3E91"/>
    <w:rsid w:val="74631C62"/>
    <w:rsid w:val="751C7E3C"/>
    <w:rsid w:val="75A22D1B"/>
    <w:rsid w:val="75A47394"/>
    <w:rsid w:val="7773491F"/>
    <w:rsid w:val="77DD70DB"/>
    <w:rsid w:val="78BF19EB"/>
    <w:rsid w:val="78FB4BB6"/>
    <w:rsid w:val="79043F06"/>
    <w:rsid w:val="79DE2FF1"/>
    <w:rsid w:val="7A7226AF"/>
    <w:rsid w:val="7AE837E3"/>
    <w:rsid w:val="7B081C9A"/>
    <w:rsid w:val="7B0C1162"/>
    <w:rsid w:val="7B344CA7"/>
    <w:rsid w:val="7BAF49F6"/>
    <w:rsid w:val="7BBC107B"/>
    <w:rsid w:val="7BDB4D25"/>
    <w:rsid w:val="7C3B5127"/>
    <w:rsid w:val="7D750B61"/>
    <w:rsid w:val="7D9B6771"/>
    <w:rsid w:val="7F056143"/>
    <w:rsid w:val="7F362E0C"/>
    <w:rsid w:val="7F3A6B56"/>
    <w:rsid w:val="7F3C7129"/>
    <w:rsid w:val="7F413799"/>
    <w:rsid w:val="7F7F5721"/>
    <w:rsid w:val="7FBE32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17"/>
    <w:autoRedefine/>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link w:val="16"/>
    <w:autoRedefine/>
    <w:qFormat/>
    <w:uiPriority w:val="0"/>
    <w:pPr>
      <w:spacing w:after="120"/>
      <w:ind w:left="420" w:leftChars="200"/>
    </w:pPr>
  </w:style>
  <w:style w:type="paragraph" w:styleId="4">
    <w:name w:val="annotation text"/>
    <w:basedOn w:val="1"/>
    <w:autoRedefine/>
    <w:semiHidden/>
    <w:unhideWhenUsed/>
    <w:qFormat/>
    <w:uiPriority w:val="0"/>
    <w:pPr>
      <w:jc w:val="left"/>
    </w:pPr>
  </w:style>
  <w:style w:type="paragraph" w:styleId="5">
    <w:name w:val="Balloon Text"/>
    <w:basedOn w:val="1"/>
    <w:link w:val="15"/>
    <w:autoRedefine/>
    <w:qFormat/>
    <w:uiPriority w:val="0"/>
    <w:rPr>
      <w:sz w:val="18"/>
      <w:szCs w:val="18"/>
    </w:rPr>
  </w:style>
  <w:style w:type="paragraph" w:styleId="6">
    <w:name w:val="footer"/>
    <w:basedOn w:val="1"/>
    <w:link w:val="14"/>
    <w:autoRedefine/>
    <w:qFormat/>
    <w:uiPriority w:val="99"/>
    <w:pPr>
      <w:tabs>
        <w:tab w:val="center" w:pos="4153"/>
        <w:tab w:val="right" w:pos="8306"/>
      </w:tabs>
      <w:snapToGrid w:val="0"/>
      <w:jc w:val="left"/>
    </w:pPr>
    <w:rPr>
      <w:sz w:val="18"/>
      <w:szCs w:val="18"/>
    </w:rPr>
  </w:style>
  <w:style w:type="paragraph" w:styleId="7">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qFormat/>
    <w:uiPriority w:val="0"/>
  </w:style>
  <w:style w:type="paragraph" w:styleId="9">
    <w:name w:val="Normal (Web)"/>
    <w:basedOn w:val="1"/>
    <w:autoRedefine/>
    <w:unhideWhenUsed/>
    <w:qFormat/>
    <w:uiPriority w:val="99"/>
    <w:pPr>
      <w:spacing w:beforeAutospacing="1" w:afterAutospacing="1"/>
      <w:jc w:val="left"/>
    </w:pPr>
    <w:rPr>
      <w:rFonts w:cs="Times New Roman"/>
      <w:kern w:val="0"/>
      <w:sz w:val="24"/>
    </w:rPr>
  </w:style>
  <w:style w:type="character" w:styleId="12">
    <w:name w:val="page number"/>
    <w:basedOn w:val="11"/>
    <w:autoRedefine/>
    <w:qFormat/>
    <w:uiPriority w:val="0"/>
  </w:style>
  <w:style w:type="character" w:customStyle="1" w:styleId="13">
    <w:name w:val="页眉 Char"/>
    <w:basedOn w:val="11"/>
    <w:link w:val="7"/>
    <w:autoRedefine/>
    <w:qFormat/>
    <w:uiPriority w:val="0"/>
    <w:rPr>
      <w:rFonts w:asciiTheme="minorHAnsi" w:hAnsiTheme="minorHAnsi" w:eastAsiaTheme="minorEastAsia" w:cstheme="minorBidi"/>
      <w:kern w:val="2"/>
      <w:sz w:val="18"/>
      <w:szCs w:val="18"/>
    </w:rPr>
  </w:style>
  <w:style w:type="character" w:customStyle="1" w:styleId="14">
    <w:name w:val="页脚 Char"/>
    <w:basedOn w:val="11"/>
    <w:link w:val="6"/>
    <w:autoRedefine/>
    <w:qFormat/>
    <w:uiPriority w:val="99"/>
    <w:rPr>
      <w:rFonts w:asciiTheme="minorHAnsi" w:hAnsiTheme="minorHAnsi" w:eastAsiaTheme="minorEastAsia" w:cstheme="minorBidi"/>
      <w:kern w:val="2"/>
      <w:sz w:val="18"/>
      <w:szCs w:val="18"/>
    </w:rPr>
  </w:style>
  <w:style w:type="character" w:customStyle="1" w:styleId="15">
    <w:name w:val="批注框文本 Char"/>
    <w:basedOn w:val="11"/>
    <w:link w:val="5"/>
    <w:autoRedefine/>
    <w:qFormat/>
    <w:uiPriority w:val="0"/>
    <w:rPr>
      <w:rFonts w:asciiTheme="minorHAnsi" w:hAnsiTheme="minorHAnsi" w:eastAsiaTheme="minorEastAsia" w:cstheme="minorBidi"/>
      <w:kern w:val="2"/>
      <w:sz w:val="18"/>
      <w:szCs w:val="18"/>
    </w:rPr>
  </w:style>
  <w:style w:type="character" w:customStyle="1" w:styleId="16">
    <w:name w:val="正文文本缩进 Char"/>
    <w:basedOn w:val="11"/>
    <w:link w:val="3"/>
    <w:autoRedefine/>
    <w:qFormat/>
    <w:uiPriority w:val="0"/>
    <w:rPr>
      <w:rFonts w:asciiTheme="minorHAnsi" w:hAnsiTheme="minorHAnsi" w:eastAsiaTheme="minorEastAsia" w:cstheme="minorBidi"/>
      <w:kern w:val="2"/>
      <w:sz w:val="21"/>
      <w:szCs w:val="22"/>
    </w:rPr>
  </w:style>
  <w:style w:type="character" w:customStyle="1" w:styleId="17">
    <w:name w:val="正文首行缩进 2 Char"/>
    <w:basedOn w:val="16"/>
    <w:link w:val="2"/>
    <w:autoRedefine/>
    <w:qFormat/>
    <w:uiPriority w:val="0"/>
    <w:rPr>
      <w:rFonts w:ascii="Calibri" w:hAnsi="Calibri" w:eastAsia="仿宋" w:cstheme="minorBidi"/>
      <w:kern w:val="2"/>
      <w:sz w:val="32"/>
      <w:szCs w:val="22"/>
    </w:rPr>
  </w:style>
  <w:style w:type="paragraph" w:customStyle="1" w:styleId="18">
    <w:name w:val="列出段落2"/>
    <w:basedOn w:val="1"/>
    <w:autoRedefine/>
    <w:qFormat/>
    <w:uiPriority w:val="34"/>
    <w:pPr>
      <w:ind w:firstLine="420" w:firstLineChars="200"/>
    </w:pPr>
  </w:style>
  <w:style w:type="paragraph" w:styleId="19">
    <w:name w:val="List Paragraph"/>
    <w:basedOn w:val="1"/>
    <w:autoRedefine/>
    <w:unhideWhenUsed/>
    <w:qFormat/>
    <w:uiPriority w:val="99"/>
    <w:pPr>
      <w:ind w:firstLine="420" w:firstLineChars="200"/>
    </w:pPr>
    <w:rPr>
      <w:rFonts w:ascii="Calibri" w:hAnsi="Calibri"/>
      <w:szCs w:val="22"/>
    </w:rPr>
  </w:style>
  <w:style w:type="paragraph" w:customStyle="1" w:styleId="20">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3864</Words>
  <Characters>4186</Characters>
  <Lines>9</Lines>
  <Paragraphs>2</Paragraphs>
  <TotalTime>11</TotalTime>
  <ScaleCrop>false</ScaleCrop>
  <LinksUpToDate>false</LinksUpToDate>
  <CharactersWithSpaces>4232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2021-01-12T01:57:00Z</dcterms:created>
  <dc:creator>ywk-rx</dc:creator>
  <cp:lastModifiedBy>M</cp:lastModifiedBy>
  <cp:lastPrinted>2023-10-08T01:32:00Z</cp:lastPrinted>
  <dcterms:modified xsi:type="dcterms:W3CDTF">2024-01-19T07:40:01Z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2E78446D88A54004882042AB4FA701DD_13</vt:lpwstr>
  </property>
</Properties>
</file>