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90"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overflowPunct w:val="0"/>
        <w:topLinePunct w:val="0"/>
        <w:autoSpaceDE/>
        <w:autoSpaceDN/>
        <w:bidi w:val="0"/>
        <w:spacing w:line="590"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overflowPunct w:val="0"/>
        <w:topLinePunct w:val="0"/>
        <w:autoSpaceDE/>
        <w:autoSpaceDN/>
        <w:bidi w:val="0"/>
        <w:spacing w:line="590"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overflowPunct w:val="0"/>
        <w:topLinePunct w:val="0"/>
        <w:autoSpaceDE/>
        <w:autoSpaceDN/>
        <w:bidi w:val="0"/>
        <w:spacing w:line="590"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spacing w:line="590"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〕6-19号</w:t>
      </w:r>
    </w:p>
    <w:p>
      <w:pPr>
        <w:keepNext w:val="0"/>
        <w:keepLines w:val="0"/>
        <w:pageBreakBefore w:val="0"/>
        <w:widowControl w:val="0"/>
        <w:kinsoku/>
        <w:wordWrap/>
        <w:overflowPunct w:val="0"/>
        <w:topLinePunct w:val="0"/>
        <w:autoSpaceDE/>
        <w:autoSpaceDN/>
        <w:bidi w:val="0"/>
        <w:spacing w:line="590"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overflowPunct w:val="0"/>
        <w:topLinePunct w:val="0"/>
        <w:autoSpaceDE/>
        <w:autoSpaceDN/>
        <w:bidi w:val="0"/>
        <w:adjustRightInd w:val="0"/>
        <w:spacing w:line="590"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当事人：焦作市优信二手车市场有限公司；</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统一社会信用代码：91410800MA9GKN5Q4K；</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住所：焦作市山阳区建设中路北侧墙南村口路北50米路西；</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类型：有限责任公司（自然投资或控股的法人独资）；</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经营范围：二手车交易市场经营；非居住房地产租赁。</w:t>
      </w:r>
    </w:p>
    <w:p>
      <w:pPr>
        <w:keepNext w:val="0"/>
        <w:keepLines w:val="0"/>
        <w:pageBreakBefore w:val="0"/>
        <w:widowControl w:val="0"/>
        <w:kinsoku/>
        <w:wordWrap/>
        <w:overflowPunct w:val="0"/>
        <w:topLinePunct w:val="0"/>
        <w:autoSpaceDE/>
        <w:autoSpaceDN/>
        <w:bidi w:val="0"/>
        <w:adjustRightInd w:val="0"/>
        <w:spacing w:line="590"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6</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的权利。当事人在法定期限内未向本机关进行陈述、申辩。</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s="仿宋_GB2312"/>
          <w:color w:val="000000" w:themeColor="text1"/>
          <w:sz w:val="32"/>
          <w:szCs w:val="32"/>
          <w:shd w:val="clear" w:color="auto" w:fill="FFFFFF"/>
        </w:rPr>
      </w:pPr>
      <w:r>
        <w:rPr>
          <w:rFonts w:hint="eastAsia" w:ascii="宋体" w:hAnsi="宋体" w:eastAsia="仿宋_GB2312" w:cs="仿宋_GB2312"/>
          <w:color w:val="000000" w:themeColor="text1"/>
          <w:sz w:val="32"/>
          <w:szCs w:val="32"/>
          <w:shd w:val="clear" w:color="auto" w:fill="FFFFFF"/>
        </w:rPr>
        <w:t>根据《二手车流通管理办法》《国家税务总局关于二手车经销公司发票使用有关问题的公告》等规定，</w:t>
      </w:r>
      <w:r>
        <w:rPr>
          <w:rFonts w:hint="eastAsia" w:ascii="宋体" w:hAnsi="宋体" w:eastAsia="仿宋_GB2312" w:cs="仿宋_GB2312"/>
          <w:color w:val="000000" w:themeColor="text1"/>
          <w:sz w:val="32"/>
          <w:szCs w:val="32"/>
        </w:rPr>
        <w:t>二手车交易应在二手车交易市场进行，并由交易市场出具交易发票，作为车辆办理过户的依据</w:t>
      </w:r>
      <w:r>
        <w:rPr>
          <w:rFonts w:hint="eastAsia" w:ascii="宋体" w:hAnsi="宋体" w:eastAsia="仿宋_GB2312" w:cs="仿宋_GB2312"/>
          <w:color w:val="000000" w:themeColor="text1"/>
          <w:sz w:val="32"/>
          <w:szCs w:val="32"/>
          <w:shd w:val="clear" w:color="auto" w:fill="FFFFFF"/>
        </w:rPr>
        <w:t>。</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东城国贸二手车市场有限公司（简称“东城”）、焦作市警源二手车交易市场有限公司（简称“警源”）、焦作市富捷二手车市场有限公司（简称“富捷”）、焦作市启汇二手车交易市场有限公司（简称“启汇”）、焦作市通大二手车交易市场有限公司（简称“通大”）、沁阳市瑞轩旧机动车交易服务有限公司（简称“瑞轩”）、温县天赐二手车交易市场有限公司（简称“天赐”）、孟州市路通二手车交易市场有限公司（简称“路通”）、孟州市路安二手车交易市场有限公司（简称“路安”）、修武县源通旧机动车交易市场有限公司（简称“源通”）、河南省鑫丰二手车市场管理有限公司（简称“鑫丰”）、焦作市鸿大二手车交易市场有限公司（简称“鸿大”）、温县顺风二手车交易市场有限公司（简称“顺风”）、博爱县盛博二手车交易有限公司（简称“盛博”）、博爱县德聚二手车交易市场有限公司（简称“德聚”）。</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numPr>
          <w:ilvl w:val="0"/>
          <w:numId w:val="1"/>
        </w:numPr>
        <w:kinsoku/>
        <w:wordWrap/>
        <w:overflowPunct w:val="0"/>
        <w:topLinePunct w:val="0"/>
        <w:autoSpaceDE/>
        <w:autoSpaceDN/>
        <w:bidi w:val="0"/>
        <w:spacing w:line="590" w:lineRule="exact"/>
        <w:ind w:firstLine="640" w:firstLineChars="20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当事人参与达成并实施了固定或变更商品价格的垄断协议。</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color w:val="000000" w:themeColor="text1"/>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当事人开业之前，在协会的组织下，恒桥、安驰、东城、启汇、通大、警源、富捷、源通、瑞轩、天赐、路安、路通等12家公司达成并实施了固定或者变更商品价格、分割销售市场的协议，执行趋同的二手车交易服务收费价格。2021年下半年以来，当事人、鑫丰、鸿大、德聚、盛博、顺风等多家新二手车市场公司开业。为拉拢当事人等新开业公司加入协议，协会多次采取会议、走访以及其他形式与当事人等各公司商讨如何继续协同。2022年8月1日协会组织会议，达成了将二手车交易服务费统一变更至趋同公示价格的协议。当事人参加会议并按照协议约定自2022年8月1日起按照趋同的价格收取二手车交易服务费。</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经审计，当事人2021年度无销售额</w:t>
      </w:r>
      <w:r>
        <w:rPr>
          <w:rFonts w:hint="eastAsia" w:ascii="宋体" w:hAnsi="宋体" w:eastAsia="仿宋_GB2312" w:cs="仿宋"/>
          <w:color w:val="000000" w:themeColor="text1"/>
          <w:sz w:val="32"/>
          <w:szCs w:val="32"/>
        </w:rPr>
        <w:t>。</w:t>
      </w:r>
    </w:p>
    <w:p>
      <w:pPr>
        <w:pStyle w:val="2"/>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第一组证据：当事人营业执照（副本）复印件、法定代表人身份证复印件，其他17家公司营业执照复印件。证明当事人的主体资格，是从事二手车交易服务的经营者，与其他17家公司是同行业竞争者。</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第二组证据：当事人等多家公司公示的二手车交易服务费标准，证明当事人与其他公司所执行的公示价格趋同。</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color w:val="000000" w:themeColor="text1"/>
        </w:rPr>
      </w:pPr>
      <w:r>
        <w:rPr>
          <w:rFonts w:hint="eastAsia" w:ascii="宋体" w:hAnsi="宋体" w:eastAsia="仿宋_GB2312" w:cs="仿宋_GB2312"/>
          <w:color w:val="000000" w:themeColor="text1"/>
          <w:sz w:val="32"/>
          <w:szCs w:val="32"/>
        </w:rPr>
        <w:t>第三组证据：相关会议记录复印件，证明当事人与协会协同的事实。</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第四组证据：当事人2022年7月-2022年8月的销售台账，证明当事人实施固定或者变更价格的事实。</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第五组证据：当事人相关负责人员、协会相关负责人员询问笔录，证明当事人参与达成并实施固定或者变更价格、分割销售市场的事实。</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第六组证据：会计师事务所出具的当事人财务审计报告，证明当事人2021年度销售额和无法计算违法所得的情况。</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项：“禁止具有竞争关系的经营者达成下列垄断协议：（一）固定或者变更商品价格”之规定。</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w:t>
      </w:r>
      <w:r>
        <w:rPr>
          <w:rFonts w:hint="eastAsia" w:ascii="宋体" w:hAnsi="宋体" w:eastAsia="仿宋_GB2312"/>
          <w:color w:val="000000" w:themeColor="text1"/>
          <w:sz w:val="32"/>
          <w:szCs w:val="32"/>
        </w:rPr>
        <w:t>其</w:t>
      </w:r>
      <w:r>
        <w:rPr>
          <w:rFonts w:ascii="宋体" w:hAnsi="宋体" w:eastAsia="仿宋_GB2312"/>
          <w:color w:val="000000" w:themeColor="text1"/>
          <w:sz w:val="32"/>
          <w:szCs w:val="32"/>
        </w:rPr>
        <w:t>实施垄断行为存续期间</w:t>
      </w:r>
      <w:r>
        <w:rPr>
          <w:rFonts w:hint="eastAsia" w:ascii="宋体" w:hAnsi="宋体" w:eastAsia="仿宋_GB2312"/>
          <w:color w:val="000000" w:themeColor="text1"/>
          <w:sz w:val="32"/>
          <w:szCs w:val="32"/>
        </w:rPr>
        <w:t>实际</w:t>
      </w:r>
      <w:r>
        <w:rPr>
          <w:rFonts w:ascii="宋体" w:hAnsi="宋体" w:eastAsia="仿宋_GB2312"/>
          <w:color w:val="000000" w:themeColor="text1"/>
          <w:sz w:val="32"/>
          <w:szCs w:val="32"/>
        </w:rPr>
        <w:t>因该行为多得的收入或减少的支出，因此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（二）处罚款3000元（大写：</w:t>
      </w:r>
      <w:r>
        <w:rPr>
          <w:rFonts w:hint="eastAsia" w:ascii="宋体" w:hAnsi="宋体" w:eastAsia="仿宋_GB2312" w:cs="仿宋_GB2312"/>
          <w:color w:val="000000" w:themeColor="text1"/>
          <w:sz w:val="32"/>
          <w:szCs w:val="32"/>
          <w:lang w:eastAsia="zh-CN"/>
        </w:rPr>
        <w:t>人民币</w:t>
      </w:r>
      <w:r>
        <w:rPr>
          <w:rFonts w:hint="eastAsia" w:ascii="宋体" w:hAnsi="宋体" w:eastAsia="仿宋_GB2312" w:cs="仿宋_GB2312"/>
          <w:color w:val="000000" w:themeColor="text1"/>
          <w:sz w:val="32"/>
          <w:szCs w:val="32"/>
        </w:rPr>
        <w:t>叁仟元整）。</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52" w:firstLineChars="200"/>
        <w:textAlignment w:val="auto"/>
        <w:rPr>
          <w:rFonts w:ascii="宋体" w:hAnsi="宋体" w:eastAsia="仿宋_GB2312" w:cs="仿宋_GB2312"/>
          <w:color w:val="000000" w:themeColor="text1"/>
          <w:spacing w:val="3"/>
          <w:sz w:val="32"/>
          <w:szCs w:val="32"/>
        </w:rPr>
      </w:pPr>
      <w:r>
        <w:rPr>
          <w:rFonts w:ascii="宋体" w:hAnsi="宋体" w:eastAsia="仿宋_GB2312"/>
          <w:color w:val="000000" w:themeColor="text1"/>
          <w:spacing w:val="3"/>
          <w:sz w:val="32"/>
          <w:szCs w:val="32"/>
        </w:rPr>
        <w:t>当事人应当自收到本行政处罚决定书之日起十五日内，</w:t>
      </w:r>
      <w:r>
        <w:rPr>
          <w:rFonts w:hint="eastAsia" w:ascii="宋体" w:hAnsi="宋体" w:eastAsia="仿宋_GB2312" w:cs="仿宋_GB2312"/>
          <w:color w:val="000000" w:themeColor="text1"/>
          <w:spacing w:val="3"/>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val="0"/>
        <w:topLinePunct w:val="0"/>
        <w:autoSpaceDE/>
        <w:autoSpaceDN/>
        <w:bidi w:val="0"/>
        <w:spacing w:line="590"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90"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r>
        <w:rPr>
          <w:rFonts w:hint="eastAsia" w:ascii="宋体" w:hAnsi="宋体" w:eastAsia="仿宋_GB2312" w:cs="Times New Roman"/>
          <w:color w:val="000000" w:themeColor="text1"/>
          <w:kern w:val="2"/>
          <w:sz w:val="32"/>
          <w:szCs w:val="32"/>
          <w:lang w:val="en-US" w:eastAsia="zh-CN" w:bidi="ar-SA"/>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90"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2"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3"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AF36F2"/>
    <w:rsid w:val="003357AD"/>
    <w:rsid w:val="005D402E"/>
    <w:rsid w:val="005E0625"/>
    <w:rsid w:val="00AF36F2"/>
    <w:rsid w:val="00D93D12"/>
    <w:rsid w:val="00E469AA"/>
    <w:rsid w:val="064D6AAE"/>
    <w:rsid w:val="31FB7CC3"/>
    <w:rsid w:val="32E75AA2"/>
    <w:rsid w:val="399A63A6"/>
    <w:rsid w:val="43E05D54"/>
    <w:rsid w:val="495B0B6A"/>
    <w:rsid w:val="57C5769A"/>
    <w:rsid w:val="5BFF1AC7"/>
    <w:rsid w:val="7132315A"/>
    <w:rsid w:val="736820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200" w:firstLineChars="200"/>
    </w:pPr>
    <w:rPr>
      <w:szCs w:val="22"/>
    </w:rPr>
  </w:style>
  <w:style w:type="paragraph" w:styleId="3">
    <w:name w:val="table of authorities"/>
    <w:basedOn w:val="1"/>
    <w:next w:val="1"/>
    <w:autoRedefine/>
    <w:qFormat/>
    <w:uiPriority w:val="0"/>
    <w:pPr>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2521</Words>
  <Characters>2611</Characters>
  <Lines>19</Lines>
  <Paragraphs>5</Paragraphs>
  <TotalTime>0</TotalTime>
  <ScaleCrop>false</ScaleCrop>
  <LinksUpToDate>false</LinksUpToDate>
  <CharactersWithSpaces>2680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2022-07-14T10:33:00Z</dcterms:created>
  <dc:creator>admin</dc:creator>
  <cp:lastModifiedBy>lhq</cp:lastModifiedBy>
  <cp:lastPrinted>2023-12-20T03:13:00Z</cp:lastPrinted>
  <dcterms:modified xsi:type="dcterms:W3CDTF">2024-01-05T02:47:45Z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CDFB52903D33439BBBDB9683A015C693</vt:lpwstr>
  </property>
</Properties>
</file>