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spacing w:line="564" w:lineRule="exact"/>
        <w:jc w:val="center"/>
        <w:textAlignment w:val="auto"/>
        <w:rPr>
          <w:rFonts w:hint="eastAsia" w:ascii="宋体" w:hAnsi="宋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14:textFill>
            <w14:solidFill>
              <w14:schemeClr w14:val="tx1"/>
            </w14:solidFill>
          </w14:textFill>
        </w:rPr>
      </w:pPr>
      <w:r>
        <w:rPr>
          <w:rFonts w:hint="eastAsia" w:ascii="宋体" w:hAnsi="宋体" w:eastAsia="方正小标宋简体" w:cs="方正小标宋简体"/>
          <w:color w:val="000000" w:themeColor="text1"/>
          <w:sz w:val="44"/>
          <w:szCs w:val="44"/>
          <w14:textFill>
            <w14:solidFill>
              <w14:schemeClr w14:val="tx1"/>
            </w14:solidFill>
          </w14:textFill>
        </w:rPr>
        <w:t>河南省市场监督管理局</w:t>
      </w: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方正小标宋简体" w:cs="方正小标宋简体"/>
          <w:color w:val="000000" w:themeColor="text1"/>
          <w:sz w:val="44"/>
          <w:szCs w:val="44"/>
          <w14:textFill>
            <w14:solidFill>
              <w14:schemeClr w14:val="tx1"/>
            </w14:solidFill>
          </w14:textFill>
        </w:rPr>
      </w:pPr>
      <w:bookmarkStart w:id="0" w:name="_Toc76683344"/>
      <w:r>
        <w:rPr>
          <w:rFonts w:hint="eastAsia" w:ascii="宋体" w:hAnsi="宋体" w:eastAsia="方正小标宋简体" w:cs="方正小标宋简体"/>
          <w:color w:val="000000" w:themeColor="text1"/>
          <w:sz w:val="44"/>
          <w:szCs w:val="44"/>
          <w14:textFill>
            <w14:solidFill>
              <w14:schemeClr w14:val="tx1"/>
            </w14:solidFill>
          </w14:textFill>
        </w:rPr>
        <w:t>行政处罚决定书</w:t>
      </w:r>
      <w:bookmarkEnd w:id="0"/>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spacing w:line="564" w:lineRule="exact"/>
        <w:jc w:val="center"/>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豫市监处罚〔</w:t>
      </w:r>
      <w:r>
        <w:rPr>
          <w:rFonts w:hint="eastAsia" w:ascii="宋体" w:hAnsi="宋体" w:eastAsia="仿宋" w:cs="仿宋"/>
          <w:color w:val="000000" w:themeColor="text1"/>
          <w:sz w:val="32"/>
          <w:szCs w:val="32"/>
          <w14:textFill>
            <w14:solidFill>
              <w14:schemeClr w14:val="tx1"/>
            </w14:solidFill>
          </w14:textFill>
        </w:rPr>
        <w:t>2022</w:t>
      </w:r>
      <w:r>
        <w:rPr>
          <w:rFonts w:hint="eastAsia" w:ascii="宋体" w:hAnsi="宋体" w:eastAsia="仿宋_GB2312" w:cs="仿宋_GB2312"/>
          <w:color w:val="000000" w:themeColor="text1"/>
          <w:sz w:val="32"/>
          <w:szCs w:val="32"/>
          <w14:textFill>
            <w14:solidFill>
              <w14:schemeClr w14:val="tx1"/>
            </w14:solidFill>
          </w14:textFill>
        </w:rPr>
        <w:t>〕6-1号</w:t>
      </w:r>
    </w:p>
    <w:p>
      <w:pPr>
        <w:keepNext w:val="0"/>
        <w:keepLines w:val="0"/>
        <w:pageBreakBefore w:val="0"/>
        <w:widowControl w:val="0"/>
        <w:kinsoku/>
        <w:wordWrap/>
        <w:overflowPunct w:val="0"/>
        <w:topLinePunct w:val="0"/>
        <w:autoSpaceDE/>
        <w:autoSpaceDN/>
        <w:bidi w:val="0"/>
        <w:spacing w:line="564" w:lineRule="exact"/>
        <w:ind w:firstLine="640" w:firstLineChars="200"/>
        <w:jc w:val="center"/>
        <w:textAlignment w:val="auto"/>
        <w:rPr>
          <w:rFonts w:ascii="宋体" w:hAnsi="宋体"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一、当事人基本情况</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当事人：焦作市二手车流通协会；</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统一代码：51410801MJG250438K；</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仿宋_GB2312" w:cs="仿宋_GB2312"/>
          <w:color w:val="000000" w:themeColor="text1"/>
          <w:sz w:val="32"/>
          <w:szCs w:val="32"/>
          <w:lang w:val="en-US" w:eastAsia="zh-CN"/>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法人代表：</w:t>
      </w:r>
      <w:bookmarkStart w:id="1" w:name="_GoBack"/>
      <w:r>
        <w:rPr>
          <w:rFonts w:hint="eastAsia" w:ascii="宋体" w:hAnsi="宋体" w:eastAsia="仿宋_GB2312" w:cs="仿宋_GB2312"/>
          <w:color w:val="000000" w:themeColor="text1"/>
          <w:sz w:val="32"/>
          <w:szCs w:val="32"/>
          <w:lang w:val="en-US" w:eastAsia="zh-CN"/>
          <w14:textFill>
            <w14:solidFill>
              <w14:schemeClr w14:val="tx1"/>
            </w14:solidFill>
          </w14:textFill>
        </w:rPr>
        <w:t>**；</w:t>
      </w:r>
      <w:bookmarkEnd w:id="1"/>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住所：河南省焦作市塔南路高新技术开发区李万南500米（恒桥旧机动车交易市场院内）；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机构类型：社会团体；</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业务范围：加强行业自律，制定行业服务标准，规范从业者经营行为，组织二手车相关知识培训，维护二手车交易秩序。</w:t>
      </w:r>
    </w:p>
    <w:p>
      <w:pPr>
        <w:keepNext w:val="0"/>
        <w:keepLines w:val="0"/>
        <w:pageBreakBefore w:val="0"/>
        <w:widowControl w:val="0"/>
        <w:kinsoku/>
        <w:wordWrap/>
        <w:overflowPunct w:val="0"/>
        <w:topLinePunct w:val="0"/>
        <w:autoSpaceDE/>
        <w:autoSpaceDN/>
        <w:bidi w:val="0"/>
        <w:adjustRightInd w:val="0"/>
        <w:spacing w:line="564" w:lineRule="exact"/>
        <w:ind w:firstLine="640" w:firstLineChars="200"/>
        <w:textAlignment w:val="auto"/>
        <w:rPr>
          <w:rFonts w:ascii="宋体" w:hAnsi="宋体" w:eastAsia="黑体" w:cs="黑体"/>
          <w:color w:val="000000" w:themeColor="text1"/>
          <w:sz w:val="32"/>
          <w:szCs w:val="32"/>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二、案件来源及调查经过</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2022年8月24日，国务院督查组在河南督导期间向本机关交办了焦作市多家二手车交易市场公司涉嫌达成并实施垄断协议的案件线索。本机关立即对该案件线索开展了调查，经核查，本案是由当事人组织本行业经营者达成并实施的垄断协议。2022年9月20日，本机关对当事人组织相关经营者达成并实施垄断协议的行为进行立案调查。期间，本机关依法</w:t>
      </w:r>
      <w:r>
        <w:rPr>
          <w:rFonts w:hint="eastAsia" w:ascii="宋体" w:hAnsi="宋体" w:eastAsia="仿宋_GB2312"/>
          <w:color w:val="000000" w:themeColor="text1"/>
          <w:sz w:val="32"/>
          <w:szCs w:val="32"/>
          <w14:textFill>
            <w14:solidFill>
              <w14:schemeClr w14:val="tx1"/>
            </w14:solidFill>
          </w14:textFill>
        </w:rPr>
        <w:t>进行了现场检查、调查询问，提</w:t>
      </w:r>
      <w:r>
        <w:rPr>
          <w:rFonts w:ascii="宋体" w:hAnsi="宋体" w:eastAsia="仿宋_GB2312"/>
          <w:color w:val="000000" w:themeColor="text1"/>
          <w:kern w:val="10"/>
          <w:sz w:val="32"/>
          <w:szCs w:val="32"/>
          <w14:textFill>
            <w14:solidFill>
              <w14:schemeClr w14:val="tx1"/>
            </w14:solidFill>
          </w14:textFill>
        </w:rPr>
        <w:t>取了相关书证、电子数据等材料，</w:t>
      </w:r>
      <w:r>
        <w:rPr>
          <w:rFonts w:hint="eastAsia" w:ascii="宋体" w:hAnsi="宋体" w:eastAsia="仿宋_GB2312"/>
          <w:color w:val="000000" w:themeColor="text1"/>
          <w:sz w:val="32"/>
          <w:szCs w:val="32"/>
          <w14:textFill>
            <w14:solidFill>
              <w14:schemeClr w14:val="tx1"/>
            </w14:solidFill>
          </w14:textFill>
        </w:rPr>
        <w:t>并多次听取当事人陈述申辩意见，保障当事人合法权利。</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olor w:val="000000" w:themeColor="text1"/>
          <w:sz w:val="32"/>
          <w:szCs w:val="32"/>
          <w14:textFill>
            <w14:solidFill>
              <w14:schemeClr w14:val="tx1"/>
            </w14:solidFill>
          </w14:textFill>
        </w:rPr>
      </w:pPr>
      <w:r>
        <w:rPr>
          <w:rFonts w:ascii="宋体" w:hAnsi="宋体" w:eastAsia="仿宋_GB2312"/>
          <w:color w:val="000000" w:themeColor="text1"/>
          <w:sz w:val="32"/>
          <w:szCs w:val="32"/>
          <w14:textFill>
            <w14:solidFill>
              <w14:schemeClr w14:val="tx1"/>
            </w14:solidFill>
          </w14:textFill>
        </w:rPr>
        <w:t>2023年</w:t>
      </w:r>
      <w:r>
        <w:rPr>
          <w:rFonts w:hint="eastAsia" w:ascii="宋体" w:hAnsi="宋体" w:eastAsia="仿宋_GB2312"/>
          <w:color w:val="000000" w:themeColor="text1"/>
          <w:sz w:val="32"/>
          <w:szCs w:val="32"/>
          <w14:textFill>
            <w14:solidFill>
              <w14:schemeClr w14:val="tx1"/>
            </w14:solidFill>
          </w14:textFill>
        </w:rPr>
        <w:t>12</w:t>
      </w:r>
      <w:r>
        <w:rPr>
          <w:rFonts w:ascii="宋体" w:hAnsi="宋体" w:eastAsia="仿宋_GB2312"/>
          <w:color w:val="000000" w:themeColor="text1"/>
          <w:sz w:val="32"/>
          <w:szCs w:val="32"/>
          <w14:textFill>
            <w14:solidFill>
              <w14:schemeClr w14:val="tx1"/>
            </w14:solidFill>
          </w14:textFill>
        </w:rPr>
        <w:t>月</w:t>
      </w:r>
      <w:r>
        <w:rPr>
          <w:rFonts w:hint="eastAsia" w:ascii="宋体" w:hAnsi="宋体" w:eastAsia="仿宋_GB2312"/>
          <w:color w:val="000000" w:themeColor="text1"/>
          <w:sz w:val="32"/>
          <w:szCs w:val="32"/>
          <w14:textFill>
            <w14:solidFill>
              <w14:schemeClr w14:val="tx1"/>
            </w14:solidFill>
          </w14:textFill>
        </w:rPr>
        <w:t>6</w:t>
      </w:r>
      <w:r>
        <w:rPr>
          <w:rFonts w:ascii="宋体" w:hAnsi="宋体" w:eastAsia="仿宋_GB2312"/>
          <w:color w:val="000000" w:themeColor="text1"/>
          <w:sz w:val="32"/>
          <w:szCs w:val="32"/>
          <w14:textFill>
            <w14:solidFill>
              <w14:schemeClr w14:val="tx1"/>
            </w14:solidFill>
          </w14:textFill>
        </w:rPr>
        <w:t>日，本机关依法向当事人送达了《行政处罚告知书》，告知当事人涉嫌违反《中华人民共和国反垄断法》的事实、拟作出的行政处罚决定、理由和依据，以及依法享有陈述、申辩和要求举行听证的权利。当事人在法定期限内未向本机关进行陈述、申辩，也未要求举行听证。</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val="en" w:eastAsia="zh-CN"/>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三、违法事实</w:t>
      </w:r>
      <w:r>
        <w:rPr>
          <w:rFonts w:hint="eastAsia" w:ascii="宋体" w:hAnsi="宋体" w:eastAsia="黑体" w:cs="黑体"/>
          <w:color w:val="000000" w:themeColor="text1"/>
          <w:sz w:val="32"/>
          <w:szCs w:val="32"/>
          <w:lang w:eastAsia="zh-CN"/>
          <w14:textFill>
            <w14:solidFill>
              <w14:schemeClr w14:val="tx1"/>
            </w14:solidFill>
          </w14:textFill>
        </w:rPr>
        <w:t>及相关证据</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楷体_GB2312" w:cs="楷体_GB2312"/>
          <w:color w:val="000000" w:themeColor="text1"/>
          <w:sz w:val="32"/>
          <w:szCs w:val="32"/>
          <w14:textFill>
            <w14:solidFill>
              <w14:schemeClr w14:val="tx1"/>
            </w14:solidFill>
          </w14:textFill>
        </w:rPr>
      </w:pPr>
      <w:r>
        <w:rPr>
          <w:rFonts w:hint="eastAsia" w:ascii="宋体" w:hAnsi="宋体" w:eastAsia="楷体_GB2312" w:cs="楷体_GB2312"/>
          <w:color w:val="000000" w:themeColor="text1"/>
          <w:sz w:val="32"/>
          <w:szCs w:val="32"/>
          <w14:textFill>
            <w14:solidFill>
              <w14:schemeClr w14:val="tx1"/>
            </w14:solidFill>
          </w14:textFill>
        </w:rPr>
        <w:t>（一）焦作市二手车交易市场公司在焦作市二手车交易服务市场是具有竞争关系的经营者。</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shd w:val="clear" w:color="auto" w:fill="FFFFFF"/>
          <w14:textFill>
            <w14:solidFill>
              <w14:schemeClr w14:val="tx1"/>
            </w14:solidFill>
          </w14:textFill>
        </w:rPr>
      </w:pPr>
      <w:r>
        <w:rPr>
          <w:rFonts w:hint="eastAsia" w:ascii="宋体" w:hAnsi="宋体" w:eastAsia="仿宋_GB2312" w:cs="仿宋_GB2312"/>
          <w:color w:val="000000" w:themeColor="text1"/>
          <w:sz w:val="32"/>
          <w:szCs w:val="32"/>
          <w:shd w:val="clear" w:color="auto" w:fill="FFFFFF"/>
          <w14:textFill>
            <w14:solidFill>
              <w14:schemeClr w14:val="tx1"/>
            </w14:solidFill>
          </w14:textFill>
        </w:rPr>
        <w:t>根据《二手车流通管理办法》《国家税务总局关于二手车经销公司发票使用有关问题的公告》等规定，</w:t>
      </w:r>
      <w:r>
        <w:rPr>
          <w:rFonts w:hint="eastAsia" w:ascii="宋体" w:hAnsi="宋体" w:eastAsia="仿宋_GB2312" w:cs="仿宋_GB2312"/>
          <w:color w:val="000000" w:themeColor="text1"/>
          <w:sz w:val="32"/>
          <w:szCs w:val="32"/>
          <w14:textFill>
            <w14:solidFill>
              <w14:schemeClr w14:val="tx1"/>
            </w14:solidFill>
          </w14:textFill>
        </w:rPr>
        <w:t>二手车交易应在二手车交易市场进行，并由交易市场出具交易发票，作为车辆办理过户的依据</w:t>
      </w:r>
      <w:r>
        <w:rPr>
          <w:rFonts w:hint="eastAsia" w:ascii="宋体" w:hAnsi="宋体" w:eastAsia="仿宋_GB2312" w:cs="仿宋_GB2312"/>
          <w:color w:val="000000" w:themeColor="text1"/>
          <w:sz w:val="32"/>
          <w:szCs w:val="32"/>
          <w:shd w:val="clear" w:color="auto" w:fill="FFFFFF"/>
          <w14:textFill>
            <w14:solidFill>
              <w14:schemeClr w14:val="tx1"/>
            </w14:solidFill>
          </w14:textFill>
        </w:rPr>
        <w:t>。</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shd w:val="clear" w:color="auto" w:fill="FFFFFF"/>
          <w14:textFill>
            <w14:solidFill>
              <w14:schemeClr w14:val="tx1"/>
            </w14:solidFill>
          </w14:textFill>
        </w:rPr>
        <w:t>本案涉案的焦作市二手车交易市场共有18家，分别为</w:t>
      </w:r>
      <w:r>
        <w:rPr>
          <w:rFonts w:hint="eastAsia" w:ascii="宋体" w:hAnsi="宋体" w:eastAsia="仿宋_GB2312" w:cs="仿宋_GB2312"/>
          <w:color w:val="000000" w:themeColor="text1"/>
          <w:sz w:val="32"/>
          <w:szCs w:val="32"/>
          <w14:textFill>
            <w14:solidFill>
              <w14:schemeClr w14:val="tx1"/>
            </w14:solidFill>
          </w14:textFill>
        </w:rPr>
        <w:t>焦作市恒桥旧机动车交易市场有限责任公司（简称“恒桥”）、焦作市安驰二手车交易市场有限公司（简称“安驰”）、焦作市东城国贸二手车市场有限公司（简称“东城”）、焦作市警源二手车交易市场有限公司（简称“警源”）、焦作市富捷二手车市场有限公司（简称“富捷”）、焦作市启汇二手车交易市场有限公司（简称“启汇”）、焦作市通大二手车交易市场有限公司（简称“通大”）、沁阳市瑞轩旧机动车交易服务有限公司（简称“瑞轩”）、温县天赐二手车交易市场有限公司（简称“天赐”）、孟州市路通二手车交易市场有限公司（简称“路通”）、孟州市路安二手车交易市场有限公司（简称“路安”）、修武县源通旧机动车交易市场有限公司（简称“源通”）、河南省鑫丰二手车市场管理有限公司（简称“鑫丰”）、焦作市优信二手车市场有限公司（简称“优信”）、焦作市鸿大二手车交易市场有限公司（简称“鸿大”）、温县顺风二手车交易市场有限公司（简称“顺风”）、博爱县盛博二手车交易有限公司（简称“盛博”）、博爱县德聚二手车交易市场有限公司（简称“德聚”）。</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shd w:val="clear" w:color="auto" w:fill="FFFFFF"/>
          <w14:textFill>
            <w14:solidFill>
              <w14:schemeClr w14:val="tx1"/>
            </w14:solidFill>
          </w14:textFill>
        </w:rPr>
        <w:t>上述18家二手车交易市场公司均从事二手车交易服务，向客户收取交易服务费，</w:t>
      </w:r>
      <w:r>
        <w:rPr>
          <w:rFonts w:hint="eastAsia" w:ascii="宋体" w:hAnsi="宋体" w:eastAsia="仿宋_GB2312" w:cs="仿宋_GB2312"/>
          <w:color w:val="000000" w:themeColor="text1"/>
          <w:sz w:val="32"/>
          <w:szCs w:val="32"/>
          <w14:textFill>
            <w14:solidFill>
              <w14:schemeClr w14:val="tx1"/>
            </w14:solidFill>
          </w14:textFill>
        </w:rPr>
        <w:t>在焦作市二手车交易服务市场是具有竞争关系的经营者。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（二）当事人组织本行业经营者达成并实施了固定或者变更商品价格、分割销售市场的垄断协议。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经查，上述18家公司所公示的二手车交易服务费收费标准主要是参照恒桥、安驰公司而制定，公示收费价格趋同。2020年9月至2021年12月期间，在当事人的组织下，恒桥、安驰、东城、启汇、通大、警源、富捷、源通、瑞轩、天赐、路安、路通等12家公司达成协议，即各公司协同执行趋同的二手车交易服务费公示价格，同时约定各公司的月销售额计算基数，通过“高交低补”、控制开票数量等手段达到分割销售市场之目的。为确保协议的顺利实施，当事人通过收取保证金、现场检查、税务数据比对等方式监督各公司价格执行和实际开票情况，套用特定公式计算出各公司当月应得销售收入，并通过现金、微信转账、个人银行卡转账等形式对销售收入再分配。2022年上半年，12家公司协同维持的上述协议，因鑫丰、鸿大、德聚、盛博、顺风、优信等公司的开业而被迫中断执行。为拉拢新开业公司加入协议，</w:t>
      </w:r>
      <w:r>
        <w:rPr>
          <w:rFonts w:hint="eastAsia" w:ascii="宋体" w:hAnsi="宋体" w:eastAsia="仿宋_GB2312" w:cs="仿宋_GB2312"/>
          <w:color w:val="000000" w:themeColor="text1"/>
          <w:sz w:val="32"/>
          <w:szCs w:val="32"/>
          <w:lang w:eastAsia="zh-CN"/>
          <w14:textFill>
            <w14:solidFill>
              <w14:schemeClr w14:val="tx1"/>
            </w14:solidFill>
          </w14:textFill>
        </w:rPr>
        <w:t>当事人</w:t>
      </w:r>
      <w:r>
        <w:rPr>
          <w:rFonts w:hint="eastAsia" w:ascii="宋体" w:hAnsi="宋体" w:eastAsia="仿宋_GB2312" w:cs="仿宋_GB2312"/>
          <w:color w:val="000000" w:themeColor="text1"/>
          <w:sz w:val="32"/>
          <w:szCs w:val="32"/>
          <w14:textFill>
            <w14:solidFill>
              <w14:schemeClr w14:val="tx1"/>
            </w14:solidFill>
          </w14:textFill>
        </w:rPr>
        <w:t>多次采取会议、走访以及其他形式与各公司商讨如何继续协同。2022年8月1日</w:t>
      </w:r>
      <w:r>
        <w:rPr>
          <w:rFonts w:hint="eastAsia" w:ascii="宋体" w:hAnsi="宋体" w:eastAsia="仿宋_GB2312" w:cs="仿宋_GB2312"/>
          <w:color w:val="000000" w:themeColor="text1"/>
          <w:sz w:val="32"/>
          <w:szCs w:val="32"/>
          <w:lang w:eastAsia="zh-CN"/>
          <w14:textFill>
            <w14:solidFill>
              <w14:schemeClr w14:val="tx1"/>
            </w14:solidFill>
          </w14:textFill>
        </w:rPr>
        <w:t>当事人</w:t>
      </w:r>
      <w:r>
        <w:rPr>
          <w:rFonts w:hint="eastAsia" w:ascii="宋体" w:hAnsi="宋体" w:eastAsia="仿宋_GB2312" w:cs="仿宋_GB2312"/>
          <w:color w:val="000000" w:themeColor="text1"/>
          <w:sz w:val="32"/>
          <w:szCs w:val="32"/>
          <w14:textFill>
            <w14:solidFill>
              <w14:schemeClr w14:val="tx1"/>
            </w14:solidFill>
          </w14:textFill>
        </w:rPr>
        <w:t>组织会议，18家公司达成了统一将二手车交易服务费变更至趋同公示价格的协议。此次会议后当事人又多次组织会议以及其他形式巩固协议的实施。</w:t>
      </w:r>
    </w:p>
    <w:p>
      <w:pPr>
        <w:pStyle w:val="2"/>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上述事实，主要有以下证据证明：</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一组证据：当事人社会团体法人登记证书（副本）复印件、法定代表人身份证复印件、协会章程、会员单位名单、各公司的营业执照复印件。证明当事人作为焦作市二手车流通行业协会的主体资格，以及二手车交易市场公司是从事二手车交易服务的具有竞争关系的经营者。</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第二组证据：恒桥、安驰、东城、通大、启汇、警源、富捷、路安、路通、源通等公司交纳会费、行业自律保证金的收据、转账凭证等复印件，证明各公司是当事人会员资格并按照当事人要求交纳了保证金。</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第三组证据：恒桥、安驰、东城、通大、启汇、警源、富捷、路安、路通、源通、德聚、顺风、优信等公司公示的二手车交易服务费标准，证明各公司所执行的公示价格趋同。</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第四组证据：安驰、警源、通大、富捷、瑞轩、天赐、路安、路通、源通等公司与当事人资金往来的单据、票证、情况说明等，证明当事人</w:t>
      </w:r>
      <w:r>
        <w:rPr>
          <w:rFonts w:hint="eastAsia" w:ascii="宋体" w:hAnsi="宋体" w:eastAsia="仿宋_GB2312" w:cs="仿宋_GB2312"/>
          <w:color w:val="000000" w:themeColor="text1"/>
          <w:sz w:val="32"/>
          <w:szCs w:val="32"/>
          <w:lang w:eastAsia="zh-CN"/>
          <w14:textFill>
            <w14:solidFill>
              <w14:schemeClr w14:val="tx1"/>
            </w14:solidFill>
          </w14:textFill>
        </w:rPr>
        <w:t>组织各公司</w:t>
      </w:r>
      <w:r>
        <w:rPr>
          <w:rFonts w:hint="eastAsia" w:ascii="宋体" w:hAnsi="宋体" w:eastAsia="仿宋_GB2312" w:cs="仿宋_GB2312"/>
          <w:color w:val="000000" w:themeColor="text1"/>
          <w:sz w:val="32"/>
          <w:szCs w:val="32"/>
          <w14:textFill>
            <w14:solidFill>
              <w14:schemeClr w14:val="tx1"/>
            </w14:solidFill>
          </w14:textFill>
        </w:rPr>
        <w:t>实施了分割销售市场的协议。</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第五组证据：恒桥、安驰、东城、通大、启汇、警源、富捷、路安、路通、源通、鑫丰、鸿大、德聚、盛博、顺风、优信等公司相关销售台账、统计表等，证明当事人</w:t>
      </w:r>
      <w:r>
        <w:rPr>
          <w:rFonts w:hint="eastAsia" w:ascii="宋体" w:hAnsi="宋体" w:eastAsia="仿宋_GB2312" w:cs="仿宋_GB2312"/>
          <w:color w:val="000000" w:themeColor="text1"/>
          <w:sz w:val="32"/>
          <w:szCs w:val="32"/>
          <w:lang w:eastAsia="zh-CN"/>
          <w14:textFill>
            <w14:solidFill>
              <w14:schemeClr w14:val="tx1"/>
            </w14:solidFill>
          </w14:textFill>
        </w:rPr>
        <w:t>组织</w:t>
      </w:r>
      <w:r>
        <w:rPr>
          <w:rFonts w:hint="eastAsia" w:ascii="宋体" w:hAnsi="宋体" w:eastAsia="仿宋_GB2312" w:cs="仿宋_GB2312"/>
          <w:color w:val="000000" w:themeColor="text1"/>
          <w:sz w:val="32"/>
          <w:szCs w:val="32"/>
          <w14:textFill>
            <w14:solidFill>
              <w14:schemeClr w14:val="tx1"/>
            </w14:solidFill>
          </w14:textFill>
        </w:rPr>
        <w:t>实施了固定或者变更</w:t>
      </w:r>
      <w:r>
        <w:rPr>
          <w:rFonts w:hint="eastAsia" w:ascii="宋体" w:hAnsi="宋体" w:eastAsia="仿宋_GB2312" w:cs="仿宋_GB2312"/>
          <w:color w:val="000000" w:themeColor="text1"/>
          <w:sz w:val="32"/>
          <w:szCs w:val="32"/>
          <w:lang w:eastAsia="zh-CN"/>
          <w14:textFill>
            <w14:solidFill>
              <w14:schemeClr w14:val="tx1"/>
            </w14:solidFill>
          </w14:textFill>
        </w:rPr>
        <w:t>商品</w:t>
      </w:r>
      <w:r>
        <w:rPr>
          <w:rFonts w:hint="eastAsia" w:ascii="宋体" w:hAnsi="宋体" w:eastAsia="仿宋_GB2312" w:cs="仿宋_GB2312"/>
          <w:color w:val="000000" w:themeColor="text1"/>
          <w:sz w:val="32"/>
          <w:szCs w:val="32"/>
          <w14:textFill>
            <w14:solidFill>
              <w14:schemeClr w14:val="tx1"/>
            </w14:solidFill>
          </w14:textFill>
        </w:rPr>
        <w:t>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第六组证据：当事人法定代表人的相关工作总结、报告，证明当事人组织各公司达成并实施固定或者变更</w:t>
      </w:r>
      <w:r>
        <w:rPr>
          <w:rFonts w:hint="eastAsia" w:ascii="宋体" w:hAnsi="宋体" w:eastAsia="仿宋_GB2312" w:cs="仿宋_GB2312"/>
          <w:color w:val="000000" w:themeColor="text1"/>
          <w:sz w:val="32"/>
          <w:szCs w:val="32"/>
          <w:lang w:eastAsia="zh-CN"/>
          <w14:textFill>
            <w14:solidFill>
              <w14:schemeClr w14:val="tx1"/>
            </w14:solidFill>
          </w14:textFill>
        </w:rPr>
        <w:t>商品</w:t>
      </w:r>
      <w:r>
        <w:rPr>
          <w:rFonts w:hint="eastAsia" w:ascii="宋体" w:hAnsi="宋体" w:eastAsia="仿宋_GB2312" w:cs="仿宋_GB2312"/>
          <w:color w:val="000000" w:themeColor="text1"/>
          <w:sz w:val="32"/>
          <w:szCs w:val="32"/>
          <w14:textFill>
            <w14:solidFill>
              <w14:schemeClr w14:val="tx1"/>
            </w14:solidFill>
          </w14:textFill>
        </w:rPr>
        <w:t>价格的事实。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第七组证据：当事人有关负责人与各公司有关负责人的微信聊天记录，证明当事人组织各公司达成并实施了固定或者变更</w:t>
      </w:r>
      <w:r>
        <w:rPr>
          <w:rFonts w:hint="eastAsia" w:ascii="宋体" w:hAnsi="宋体" w:eastAsia="仿宋_GB2312" w:cs="仿宋_GB2312"/>
          <w:color w:val="000000" w:themeColor="text1"/>
          <w:sz w:val="32"/>
          <w:szCs w:val="32"/>
          <w:lang w:eastAsia="zh-CN"/>
          <w14:textFill>
            <w14:solidFill>
              <w14:schemeClr w14:val="tx1"/>
            </w14:solidFill>
          </w14:textFill>
        </w:rPr>
        <w:t>商品</w:t>
      </w:r>
      <w:r>
        <w:rPr>
          <w:rFonts w:hint="eastAsia" w:ascii="宋体" w:hAnsi="宋体" w:eastAsia="仿宋_GB2312" w:cs="仿宋_GB2312"/>
          <w:color w:val="000000" w:themeColor="text1"/>
          <w:sz w:val="32"/>
          <w:szCs w:val="32"/>
          <w14:textFill>
            <w14:solidFill>
              <w14:schemeClr w14:val="tx1"/>
            </w14:solidFill>
          </w14:textFill>
        </w:rPr>
        <w:t>价格、分割销售市场的事实。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第八组证据：恒桥、安驰、东城、通大、启汇、警源、富捷、路安、路通、源通、鑫丰、鸿大、德聚、盛博、顺风、优信等公司有关负责人的询问笔录，证明当事人组织各公司达成并实施了固定或者变更</w:t>
      </w:r>
      <w:r>
        <w:rPr>
          <w:rFonts w:hint="eastAsia" w:ascii="宋体" w:hAnsi="宋体" w:eastAsia="仿宋_GB2312" w:cs="仿宋_GB2312"/>
          <w:color w:val="000000" w:themeColor="text1"/>
          <w:sz w:val="32"/>
          <w:szCs w:val="32"/>
          <w:lang w:eastAsia="zh-CN"/>
          <w14:textFill>
            <w14:solidFill>
              <w14:schemeClr w14:val="tx1"/>
            </w14:solidFill>
          </w14:textFill>
        </w:rPr>
        <w:t>商品</w:t>
      </w:r>
      <w:r>
        <w:rPr>
          <w:rFonts w:hint="eastAsia" w:ascii="宋体" w:hAnsi="宋体" w:eastAsia="仿宋_GB2312" w:cs="仿宋_GB2312"/>
          <w:color w:val="000000" w:themeColor="text1"/>
          <w:sz w:val="32"/>
          <w:szCs w:val="32"/>
          <w14:textFill>
            <w14:solidFill>
              <w14:schemeClr w14:val="tx1"/>
            </w14:solidFill>
          </w14:textFill>
        </w:rPr>
        <w:t>价格、分割销售市场的事实。</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第九组证据：安驰、恒桥、警源、启汇、顺风等公司市场内商户的调查资料，证明当事人组织各公司达成并实施了固定或者变更</w:t>
      </w:r>
      <w:r>
        <w:rPr>
          <w:rFonts w:hint="eastAsia" w:ascii="宋体" w:hAnsi="宋体" w:eastAsia="仿宋_GB2312" w:cs="仿宋_GB2312"/>
          <w:color w:val="000000" w:themeColor="text1"/>
          <w:sz w:val="32"/>
          <w:szCs w:val="32"/>
          <w:lang w:eastAsia="zh-CN"/>
          <w14:textFill>
            <w14:solidFill>
              <w14:schemeClr w14:val="tx1"/>
            </w14:solidFill>
          </w14:textFill>
        </w:rPr>
        <w:t>商品</w:t>
      </w:r>
      <w:r>
        <w:rPr>
          <w:rFonts w:hint="eastAsia" w:ascii="宋体" w:hAnsi="宋体" w:eastAsia="仿宋_GB2312" w:cs="仿宋_GB2312"/>
          <w:color w:val="000000" w:themeColor="text1"/>
          <w:sz w:val="32"/>
          <w:szCs w:val="32"/>
          <w14:textFill>
            <w14:solidFill>
              <w14:schemeClr w14:val="tx1"/>
            </w14:solidFill>
          </w14:textFill>
        </w:rPr>
        <w:t>价格的事实以及对商户的影响。</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hint="eastAsia" w:ascii="宋体" w:hAnsi="宋体" w:eastAsia="黑体" w:cs="黑体"/>
          <w:color w:val="000000" w:themeColor="text1"/>
          <w:sz w:val="32"/>
          <w:szCs w:val="32"/>
          <w:lang w:eastAsia="zh-CN"/>
          <w14:textFill>
            <w14:solidFill>
              <w14:schemeClr w14:val="tx1"/>
            </w14:solidFill>
          </w14:textFill>
        </w:rPr>
      </w:pPr>
      <w:r>
        <w:rPr>
          <w:rFonts w:hint="eastAsia" w:ascii="宋体" w:hAnsi="宋体" w:eastAsia="黑体" w:cs="黑体"/>
          <w:color w:val="000000" w:themeColor="text1"/>
          <w:sz w:val="32"/>
          <w:szCs w:val="32"/>
          <w14:textFill>
            <w14:solidFill>
              <w14:schemeClr w14:val="tx1"/>
            </w14:solidFill>
          </w14:textFill>
        </w:rPr>
        <w:t>四、行政处罚依据及</w:t>
      </w:r>
      <w:r>
        <w:rPr>
          <w:rFonts w:hint="eastAsia" w:ascii="宋体" w:hAnsi="宋体" w:eastAsia="黑体" w:cs="黑体"/>
          <w:color w:val="000000" w:themeColor="text1"/>
          <w:sz w:val="32"/>
          <w:szCs w:val="32"/>
          <w:lang w:eastAsia="zh-CN"/>
          <w14:textFill>
            <w14:solidFill>
              <w14:schemeClr w14:val="tx1"/>
            </w14:solidFill>
          </w14:textFill>
        </w:rPr>
        <w:t>决定</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本机关认定，当事人的上述行为排除、限制了市场竞争，损害了消费者利益和社会公共利益，违反了《中华人民共和国反垄断法》第二十一条“行业协会不得组织本行业的经营者从事本章禁止的垄断行为”之规定。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14:textFill>
            <w14:solidFill>
              <w14:schemeClr w14:val="tx1"/>
            </w14:solidFill>
          </w14:textFill>
        </w:rPr>
        <w:t>本机关决定</w:t>
      </w:r>
      <w:r>
        <w:rPr>
          <w:rFonts w:hint="eastAsia" w:ascii="宋体" w:hAnsi="宋体" w:eastAsia="仿宋_GB2312" w:cs="仿宋_GB2312"/>
          <w:color w:val="000000" w:themeColor="text1"/>
          <w:sz w:val="32"/>
          <w:szCs w:val="32"/>
          <w14:textFill>
            <w14:solidFill>
              <w14:schemeClr w14:val="tx1"/>
            </w14:solidFill>
          </w14:textFill>
        </w:rPr>
        <w:t>对当事人作出如下处理：</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（一）责令停止违法行为；</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（二）罚款</w:t>
      </w:r>
      <w:r>
        <w:rPr>
          <w:rFonts w:hint="eastAsia" w:ascii="宋体" w:hAnsi="宋体" w:eastAsia="仿宋" w:cs="仿宋"/>
          <w:color w:val="000000" w:themeColor="text1"/>
          <w:sz w:val="32"/>
          <w:szCs w:val="32"/>
          <w14:textFill>
            <w14:solidFill>
              <w14:schemeClr w14:val="tx1"/>
            </w14:solidFill>
          </w14:textFill>
        </w:rPr>
        <w:t>300000.00</w:t>
      </w:r>
      <w:r>
        <w:rPr>
          <w:rFonts w:hint="eastAsia" w:ascii="宋体" w:hAnsi="宋体" w:eastAsia="仿宋_GB2312" w:cs="仿宋_GB2312"/>
          <w:color w:val="000000" w:themeColor="text1"/>
          <w:sz w:val="32"/>
          <w:szCs w:val="32"/>
          <w14:textFill>
            <w14:solidFill>
              <w14:schemeClr w14:val="tx1"/>
            </w14:solidFill>
          </w14:textFill>
        </w:rPr>
        <w:t>元（大写：人民币叁拾万元整）。</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ascii="宋体" w:hAnsi="宋体" w:eastAsia="仿宋_GB2312"/>
          <w:color w:val="000000" w:themeColor="text1"/>
          <w:sz w:val="32"/>
          <w:szCs w:val="32"/>
          <w14:textFill>
            <w14:solidFill>
              <w14:schemeClr w14:val="tx1"/>
            </w14:solidFill>
          </w14:textFill>
        </w:rPr>
        <w:t>当事人应当自收到本行政处罚决定书之日起十五日内，</w:t>
      </w:r>
      <w:r>
        <w:rPr>
          <w:rFonts w:hint="eastAsia" w:ascii="宋体" w:hAnsi="宋体" w:eastAsia="仿宋_GB2312" w:cs="仿宋_GB2312"/>
          <w:color w:val="000000" w:themeColor="text1"/>
          <w:sz w:val="32"/>
          <w:szCs w:val="32"/>
          <w14:textFill>
            <w14:solidFill>
              <w14:schemeClr w14:val="tx1"/>
            </w14:solidFill>
          </w14:textFill>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户    名：河南省财政厅非税收入财政专户</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帐    号：</w:t>
      </w:r>
      <w:r>
        <w:rPr>
          <w:rFonts w:hint="eastAsia" w:ascii="宋体" w:hAnsi="宋体" w:eastAsia="仿宋_GB2312" w:cs="仿宋"/>
          <w:color w:val="000000" w:themeColor="text1"/>
          <w:sz w:val="32"/>
          <w:szCs w:val="32"/>
          <w14:textFill>
            <w14:solidFill>
              <w14:schemeClr w14:val="tx1"/>
            </w14:solidFill>
          </w14:textFill>
        </w:rPr>
        <w:t>419901010150009501</w:t>
      </w:r>
    </w:p>
    <w:p>
      <w:pPr>
        <w:keepNext w:val="0"/>
        <w:keepLines w:val="0"/>
        <w:pageBreakBefore w:val="0"/>
        <w:widowControl w:val="0"/>
        <w:kinsoku/>
        <w:wordWrap/>
        <w:overflowPunct w:val="0"/>
        <w:topLinePunct w:val="0"/>
        <w:autoSpaceDE/>
        <w:autoSpaceDN/>
        <w:bidi w:val="0"/>
        <w:spacing w:line="564" w:lineRule="exact"/>
        <w:ind w:firstLine="640" w:firstLineChars="200"/>
        <w:textAlignment w:val="auto"/>
        <w:rPr>
          <w:rFonts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
          <w:color w:val="000000" w:themeColor="text1"/>
          <w:sz w:val="32"/>
          <w:szCs w:val="32"/>
          <w14:textFill>
            <w14:solidFill>
              <w14:schemeClr w14:val="tx1"/>
            </w14:solidFill>
          </w14:textFill>
        </w:rPr>
        <w:t>开 户 行：中原银行郑州商务外环</w:t>
      </w:r>
      <w:r>
        <w:rPr>
          <w:rFonts w:hint="eastAsia" w:ascii="宋体" w:hAnsi="宋体" w:eastAsia="仿宋_GB2312" w:cs="仿宋_GB2312"/>
          <w:color w:val="000000" w:themeColor="text1"/>
          <w:sz w:val="32"/>
          <w:szCs w:val="32"/>
          <w14:textFill>
            <w14:solidFill>
              <w14:schemeClr w14:val="tx1"/>
            </w14:solidFill>
          </w14:textFill>
        </w:rPr>
        <w:t>路支行</w:t>
      </w:r>
    </w:p>
    <w:p>
      <w:pPr>
        <w:keepNext w:val="0"/>
        <w:keepLines w:val="0"/>
        <w:pageBreakBefore w:val="0"/>
        <w:widowControl w:val="0"/>
        <w:kinsoku/>
        <w:wordWrap/>
        <w:overflowPunct w:val="0"/>
        <w:topLinePunct w:val="0"/>
        <w:autoSpaceDE/>
        <w:autoSpaceDN/>
        <w:bidi w:val="0"/>
        <w:adjustRightInd w:val="0"/>
        <w:snapToGrid w:val="0"/>
        <w:spacing w:line="564" w:lineRule="exact"/>
        <w:ind w:firstLine="640" w:firstLineChars="200"/>
        <w:textAlignment w:val="auto"/>
        <w:rPr>
          <w:rFonts w:hint="eastAsia" w:ascii="宋体" w:hAnsi="宋体" w:eastAsia="仿宋_GB2312" w:cs="仿宋_GB2312"/>
          <w:color w:val="000000" w:themeColor="text1"/>
          <w:sz w:val="32"/>
          <w:szCs w:val="32"/>
          <w14:textFill>
            <w14:solidFill>
              <w14:schemeClr w14:val="tx1"/>
            </w14:solidFill>
          </w14:textFill>
        </w:rPr>
      </w:pPr>
      <w:r>
        <w:rPr>
          <w:rFonts w:hint="eastAsia" w:ascii="宋体" w:hAnsi="宋体" w:eastAsia="仿宋_GB2312" w:cs="仿宋_GB2312"/>
          <w:color w:val="000000" w:themeColor="text1"/>
          <w:sz w:val="32"/>
          <w:szCs w:val="32"/>
          <w14:textFill>
            <w14:solidFill>
              <w14:schemeClr w14:val="tx1"/>
            </w14:solidFill>
          </w14:textFill>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pStyle w:val="2"/>
        <w:rPr>
          <w:rFonts w:hint="eastAsia" w:ascii="宋体" w:hAnsi="宋体" w:eastAsia="仿宋_GB2312" w:cs="仿宋_GB2312"/>
          <w:color w:val="000000" w:themeColor="text1"/>
          <w:sz w:val="32"/>
          <w:szCs w:val="32"/>
          <w14:textFill>
            <w14:solidFill>
              <w14:schemeClr w14:val="tx1"/>
            </w14:solidFill>
          </w14:textFill>
        </w:rPr>
      </w:pPr>
    </w:p>
    <w:p>
      <w:pPr>
        <w:pStyle w:val="2"/>
        <w:rPr>
          <w:rFonts w:hint="eastAsia" w:ascii="宋体" w:hAnsi="宋体"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spacing w:line="564" w:lineRule="exact"/>
        <w:ind w:firstLine="640"/>
        <w:textAlignment w:val="auto"/>
        <w:rPr>
          <w:rFonts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w:t>
      </w:r>
      <w:r>
        <w:rPr>
          <w:rFonts w:hint="eastAsia" w:ascii="宋体" w:hAnsi="宋体" w:eastAsia="仿宋_GB2312"/>
          <w:color w:val="000000" w:themeColor="text1"/>
          <w:sz w:val="32"/>
          <w:szCs w:val="32"/>
          <w:lang w:val="en-US" w:eastAsia="zh-CN"/>
          <w14:textFill>
            <w14:solidFill>
              <w14:schemeClr w14:val="tx1"/>
            </w14:solidFill>
          </w14:textFill>
        </w:rPr>
        <w:t xml:space="preserve">     </w:t>
      </w:r>
      <w:r>
        <w:rPr>
          <w:rFonts w:hint="eastAsia" w:ascii="宋体" w:hAnsi="宋体" w:eastAsia="仿宋_GB2312"/>
          <w:color w:val="000000" w:themeColor="text1"/>
          <w:sz w:val="32"/>
          <w:szCs w:val="32"/>
          <w14:textFill>
            <w14:solidFill>
              <w14:schemeClr w14:val="tx1"/>
            </w14:solidFill>
          </w14:textFill>
        </w:rPr>
        <w:t xml:space="preserve"> </w:t>
      </w:r>
      <w:r>
        <w:rPr>
          <w:rFonts w:hint="eastAsia" w:ascii="宋体" w:hAnsi="宋体" w:eastAsia="仿宋_GB2312"/>
          <w:color w:val="000000" w:themeColor="text1"/>
          <w:sz w:val="32"/>
          <w:szCs w:val="32"/>
          <w:lang w:val="en-US" w:eastAsia="zh-CN"/>
          <w14:textFill>
            <w14:solidFill>
              <w14:schemeClr w14:val="tx1"/>
            </w14:solidFill>
          </w14:textFill>
        </w:rPr>
        <w:t xml:space="preserve">  </w:t>
      </w:r>
      <w:r>
        <w:rPr>
          <w:rFonts w:hint="eastAsia" w:ascii="宋体" w:hAnsi="宋体" w:eastAsia="仿宋_GB2312"/>
          <w:color w:val="000000" w:themeColor="text1"/>
          <w:sz w:val="32"/>
          <w:szCs w:val="32"/>
          <w14:textFill>
            <w14:solidFill>
              <w14:schemeClr w14:val="tx1"/>
            </w14:solidFill>
          </w14:textFill>
        </w:rPr>
        <w:t xml:space="preserve">     河南省市场监督管理局</w:t>
      </w:r>
    </w:p>
    <w:p>
      <w:pPr>
        <w:keepNext w:val="0"/>
        <w:keepLines w:val="0"/>
        <w:pageBreakBefore w:val="0"/>
        <w:widowControl w:val="0"/>
        <w:kinsoku/>
        <w:wordWrap/>
        <w:overflowPunct w:val="0"/>
        <w:topLinePunct w:val="0"/>
        <w:autoSpaceDE/>
        <w:autoSpaceDN/>
        <w:bidi w:val="0"/>
        <w:spacing w:line="564" w:lineRule="exact"/>
        <w:ind w:firstLine="640"/>
        <w:textAlignment w:val="auto"/>
        <w:rPr>
          <w:rFonts w:hint="eastAsia"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 xml:space="preserve">              </w:t>
      </w:r>
      <w:r>
        <w:rPr>
          <w:rFonts w:hint="eastAsia" w:ascii="宋体" w:hAnsi="宋体" w:eastAsia="仿宋_GB2312"/>
          <w:color w:val="000000" w:themeColor="text1"/>
          <w:sz w:val="32"/>
          <w:szCs w:val="32"/>
          <w:lang w:val="en-US" w:eastAsia="zh-CN"/>
          <w14:textFill>
            <w14:solidFill>
              <w14:schemeClr w14:val="tx1"/>
            </w14:solidFill>
          </w14:textFill>
        </w:rPr>
        <w:t xml:space="preserve">     </w:t>
      </w:r>
      <w:r>
        <w:rPr>
          <w:rFonts w:hint="eastAsia" w:ascii="宋体" w:hAnsi="宋体" w:eastAsia="仿宋_GB2312"/>
          <w:color w:val="000000" w:themeColor="text1"/>
          <w:sz w:val="32"/>
          <w:szCs w:val="32"/>
          <w14:textFill>
            <w14:solidFill>
              <w14:schemeClr w14:val="tx1"/>
            </w14:solidFill>
          </w14:textFill>
        </w:rPr>
        <w:t xml:space="preserve"> </w:t>
      </w:r>
      <w:r>
        <w:rPr>
          <w:rFonts w:hint="eastAsia" w:ascii="宋体" w:hAnsi="宋体" w:eastAsia="仿宋_GB2312"/>
          <w:color w:val="000000" w:themeColor="text1"/>
          <w:sz w:val="32"/>
          <w:szCs w:val="32"/>
          <w:lang w:val="en-US" w:eastAsia="zh-CN"/>
          <w14:textFill>
            <w14:solidFill>
              <w14:schemeClr w14:val="tx1"/>
            </w14:solidFill>
          </w14:textFill>
        </w:rPr>
        <w:t xml:space="preserve">    </w:t>
      </w:r>
      <w:r>
        <w:rPr>
          <w:rFonts w:hint="eastAsia" w:ascii="宋体" w:hAnsi="宋体" w:eastAsia="仿宋_GB2312"/>
          <w:color w:val="000000" w:themeColor="text1"/>
          <w:sz w:val="32"/>
          <w:szCs w:val="32"/>
          <w14:textFill>
            <w14:solidFill>
              <w14:schemeClr w14:val="tx1"/>
            </w14:solidFill>
          </w14:textFill>
        </w:rPr>
        <w:t xml:space="preserve">  2023年12月</w:t>
      </w:r>
      <w:r>
        <w:rPr>
          <w:rFonts w:hint="eastAsia" w:ascii="宋体" w:hAnsi="宋体" w:eastAsia="仿宋_GB2312"/>
          <w:color w:val="000000" w:themeColor="text1"/>
          <w:sz w:val="32"/>
          <w:szCs w:val="32"/>
          <w:lang w:val="en-US" w:eastAsia="zh-CN"/>
          <w14:textFill>
            <w14:solidFill>
              <w14:schemeClr w14:val="tx1"/>
            </w14:solidFill>
          </w14:textFill>
        </w:rPr>
        <w:t>19</w:t>
      </w:r>
      <w:r>
        <w:rPr>
          <w:rFonts w:hint="eastAsia" w:ascii="宋体" w:hAnsi="宋体" w:eastAsia="仿宋_GB2312"/>
          <w:color w:val="000000" w:themeColor="text1"/>
          <w:sz w:val="32"/>
          <w:szCs w:val="32"/>
          <w14:textFill>
            <w14:solidFill>
              <w14:schemeClr w14:val="tx1"/>
            </w14:solidFill>
          </w14:textFill>
        </w:rPr>
        <w:t xml:space="preserve">日         </w:t>
      </w:r>
    </w:p>
    <w:p>
      <w:pPr>
        <w:pStyle w:val="2"/>
        <w:rPr>
          <w:rFonts w:hint="eastAsia" w:ascii="宋体" w:hAnsi="宋体" w:eastAsia="仿宋_GB2312"/>
          <w:color w:val="000000" w:themeColor="text1"/>
          <w:sz w:val="32"/>
          <w:szCs w:val="32"/>
          <w14:textFill>
            <w14:solidFill>
              <w14:schemeClr w14:val="tx1"/>
            </w14:solidFill>
          </w14:textFill>
        </w:rPr>
      </w:pPr>
    </w:p>
    <w:p>
      <w:pPr>
        <w:pStyle w:val="2"/>
        <w:rPr>
          <w:rFonts w:hint="eastAsia" w:ascii="宋体" w:hAnsi="宋体" w:eastAsia="仿宋_GB2312"/>
          <w:color w:val="000000" w:themeColor="text1"/>
          <w:sz w:val="32"/>
          <w:szCs w:val="32"/>
          <w14:textFill>
            <w14:solidFill>
              <w14:schemeClr w14:val="tx1"/>
            </w14:solidFill>
          </w14:textFill>
        </w:rPr>
      </w:pPr>
    </w:p>
    <w:p>
      <w:pPr>
        <w:pStyle w:val="3"/>
        <w:keepNext w:val="0"/>
        <w:keepLines w:val="0"/>
        <w:pageBreakBefore w:val="0"/>
        <w:widowControl w:val="0"/>
        <w:kinsoku/>
        <w:wordWrap/>
        <w:overflowPunct w:val="0"/>
        <w:topLinePunct w:val="0"/>
        <w:autoSpaceDE/>
        <w:autoSpaceDN/>
        <w:bidi w:val="0"/>
        <w:spacing w:line="564" w:lineRule="exact"/>
        <w:ind w:left="0" w:leftChars="0"/>
        <w:textAlignment w:val="auto"/>
        <w:rPr>
          <w:rFonts w:hint="eastAsia" w:ascii="宋体" w:hAnsi="宋体" w:eastAsia="仿宋_GB2312"/>
          <w:color w:val="000000" w:themeColor="text1"/>
          <w:sz w:val="32"/>
          <w:szCs w:val="32"/>
          <w14:textFill>
            <w14:solidFill>
              <w14:schemeClr w14:val="tx1"/>
            </w14:solidFill>
          </w14:textFill>
        </w:rPr>
      </w:pPr>
      <w:r>
        <w:rPr>
          <w:rFonts w:hint="eastAsia" w:ascii="宋体" w:hAnsi="宋体" w:eastAsia="仿宋_GB2312"/>
          <w:color w:val="000000" w:themeColor="text1"/>
          <w:sz w:val="32"/>
          <w:szCs w:val="32"/>
          <w14:textFill>
            <w14:solidFill>
              <w14:schemeClr w14:val="tx1"/>
            </w14:solidFill>
          </w14:textFill>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64" w:lineRule="exact"/>
        <w:textAlignment w:val="auto"/>
        <w:rPr>
          <w:rFonts w:ascii="宋体" w:hAnsi="宋体"/>
          <w:color w:val="000000" w:themeColor="text1"/>
          <w14:textFill>
            <w14:solidFill>
              <w14:schemeClr w14:val="tx1"/>
            </w14:solidFill>
          </w14:textFill>
        </w:rPr>
      </w:pPr>
      <w:r>
        <w:rPr>
          <w:rFonts w:ascii="宋体" w:hAnsi="宋体" w:eastAsia="仿宋_GB2312" w:cs="仿宋_GB2312"/>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9525</wp:posOffset>
                </wp:positionV>
                <wp:extent cx="555053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fill on="f" focussize="0,0"/>
                <v:stroke weight="1.25pt" color="#000000" joinstyle="round"/>
                <v:imagedata o:title=""/>
                <o:lock v:ext="edit" aspectratio="f"/>
              </v:line>
            </w:pict>
          </mc:Fallback>
        </mc:AlternateContent>
      </w:r>
      <w:r>
        <w:rPr>
          <w:rFonts w:ascii="宋体" w:hAnsi="宋体" w:eastAsia="仿宋_GB2312" w:cs="仿宋_GB2312"/>
          <w:bCs/>
          <w:color w:val="000000" w:themeColor="text1"/>
          <w:sz w:val="32"/>
          <w:szCs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fill on="f" focussize="0,0"/>
                <v:stroke weight="0.737007874015748pt" color="#000000" joinstyle="round" endcap="square"/>
                <v:imagedata o:title=""/>
                <o:lock v:ext="edit" aspectratio="f"/>
              </v:line>
            </w:pict>
          </mc:Fallback>
        </mc:AlternateContent>
      </w:r>
      <w:r>
        <w:rPr>
          <w:rFonts w:hint="eastAsia" w:ascii="宋体" w:hAnsi="宋体" w:eastAsia="仿宋_GB2312" w:cs="仿宋_GB2312"/>
          <w:color w:val="000000" w:themeColor="text1"/>
          <w:sz w:val="32"/>
          <w:szCs w:val="32"/>
          <w14:textFill>
            <w14:solidFill>
              <w14:schemeClr w14:val="tx1"/>
            </w14:solidFill>
          </w14:textFill>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0NDBjZDllOWM3OWQ0MmZhNDM5NTEyY2Q3MTM1NzMifQ=="/>
  </w:docVars>
  <w:rsids>
    <w:rsidRoot w:val="00350F28"/>
    <w:rsid w:val="00056F85"/>
    <w:rsid w:val="00317794"/>
    <w:rsid w:val="00350F28"/>
    <w:rsid w:val="00384D6D"/>
    <w:rsid w:val="005C4FBC"/>
    <w:rsid w:val="006A2C30"/>
    <w:rsid w:val="0091095A"/>
    <w:rsid w:val="00A7363B"/>
    <w:rsid w:val="00DF7924"/>
    <w:rsid w:val="06B238FA"/>
    <w:rsid w:val="0827324E"/>
    <w:rsid w:val="0B0423FC"/>
    <w:rsid w:val="16640A0D"/>
    <w:rsid w:val="180C2F70"/>
    <w:rsid w:val="19E9660B"/>
    <w:rsid w:val="1B7B2180"/>
    <w:rsid w:val="1F87DDD4"/>
    <w:rsid w:val="25715D7B"/>
    <w:rsid w:val="31C75CC2"/>
    <w:rsid w:val="3B895C72"/>
    <w:rsid w:val="42BF3977"/>
    <w:rsid w:val="46484924"/>
    <w:rsid w:val="49EC5DA0"/>
    <w:rsid w:val="4DA75059"/>
    <w:rsid w:val="51566012"/>
    <w:rsid w:val="521057AE"/>
    <w:rsid w:val="56D6124D"/>
    <w:rsid w:val="573721F7"/>
    <w:rsid w:val="57C24A97"/>
    <w:rsid w:val="5FF54C97"/>
    <w:rsid w:val="66A259A4"/>
    <w:rsid w:val="690B178F"/>
    <w:rsid w:val="6E6AC8B5"/>
    <w:rsid w:val="6EBE689D"/>
    <w:rsid w:val="6F2F4F7E"/>
    <w:rsid w:val="70F235BA"/>
    <w:rsid w:val="79B36165"/>
    <w:rsid w:val="7CF41326"/>
    <w:rsid w:val="EFFFA68D"/>
    <w:rsid w:val="F2F19DFB"/>
    <w:rsid w:val="F7DEE8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styleId="3">
    <w:name w:val="table of authorities"/>
    <w:basedOn w:val="1"/>
    <w:next w:val="1"/>
    <w:unhideWhenUsed/>
    <w:qFormat/>
    <w:uiPriority w:val="99"/>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3061</Words>
  <Characters>3146</Characters>
  <Lines>23</Lines>
  <Paragraphs>6</Paragraphs>
  <TotalTime>0</TotalTime>
  <ScaleCrop>false</ScaleCrop>
  <LinksUpToDate>false</LinksUpToDate>
  <CharactersWithSpaces>3215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2023-11-02T15:31:00Z</dcterms:created>
  <dc:creator>admin</dc:creator>
  <cp:lastModifiedBy>lhq</cp:lastModifiedBy>
  <cp:lastPrinted>2023-12-20T02:58:00Z</cp:lastPrinted>
  <dcterms:modified xsi:type="dcterms:W3CDTF">2024-01-05T02:45:11Z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4F5D68797AA0497A86DB13284CE18015_12</vt:lpwstr>
  </property>
</Properties>
</file>