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〕6-18号</w:t>
      </w:r>
    </w:p>
    <w:p>
      <w:pPr>
        <w:keepNext w:val="0"/>
        <w:keepLines w:val="0"/>
        <w:pageBreakBefore w:val="0"/>
        <w:widowControl w:val="0"/>
        <w:kinsoku/>
        <w:wordWrap/>
        <w:overflowPunct w:val="0"/>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当事人：温县顺风二手车交易市场有限公司；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统一社会信用代码：91410825MA9K2A2290；</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住所：河南省焦作市温县岳村乡司马大街与工业路交叉口北200米路东；</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类型：有限责任公司（自然投资或控股）；</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经营范围：一般项目：二手车交易市场经营；二手车经销；二手车鉴定评估；二手车经纪；机动车修理与维护；汽车新车销售；汽车零配件零售；非居住房地产租赁；物业管理。</w:t>
      </w: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w:t>
      </w:r>
      <w:r>
        <w:rPr>
          <w:rFonts w:hint="eastAsia" w:ascii="宋体" w:hAnsi="宋体" w:eastAsia="仿宋_GB2312"/>
          <w:color w:val="000000" w:themeColor="text1"/>
          <w:sz w:val="32"/>
          <w:szCs w:val="32"/>
        </w:rPr>
        <w:t>的权利</w:t>
      </w:r>
      <w:r>
        <w:rPr>
          <w:rFonts w:ascii="宋体" w:hAnsi="宋体" w:eastAsia="仿宋_GB2312"/>
          <w:color w:val="000000" w:themeColor="text1"/>
          <w:sz w:val="32"/>
          <w:szCs w:val="32"/>
        </w:rPr>
        <w:t>。当事人在法定期限内未向本机关进行陈述</w:t>
      </w:r>
      <w:r>
        <w:rPr>
          <w:rFonts w:hint="eastAsia" w:ascii="宋体" w:hAnsi="宋体" w:eastAsia="仿宋_GB2312"/>
          <w:color w:val="000000" w:themeColor="text1"/>
          <w:sz w:val="32"/>
          <w:szCs w:val="32"/>
        </w:rPr>
        <w:t>、</w:t>
      </w:r>
      <w:r>
        <w:rPr>
          <w:rFonts w:ascii="宋体" w:hAnsi="宋体" w:eastAsia="仿宋_GB2312"/>
          <w:color w:val="000000" w:themeColor="text1"/>
          <w:sz w:val="32"/>
          <w:szCs w:val="32"/>
        </w:rPr>
        <w:t>申辩。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鸿大二手车交易市场有限公司（简称“鸿大”）、焦作市优信二手车市场有限公司（简称“优信”）、博爱县盛博二手车交易有限公司（简称“盛博”）、博爱县德聚二手车交易市场有限公司（简称“德聚”）。</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overflowPunct w:val="0"/>
        <w:topLinePunct w:val="0"/>
        <w:autoSpaceDE/>
        <w:autoSpaceDN/>
        <w:bidi w:val="0"/>
        <w:spacing w:line="564"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当事人参与达成并实施了固定或变更商品价格的垄断协议。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当事人开业之前，在协会的组织下，恒桥、安驰、东城、启汇、通大、警源、富捷、源通、瑞轩、天赐、路安、路通等12家公司达成并实施了固定或者变更商品价格、分割销售市场的协议，执行趋同的二手车交易服务收费价格。2022年上半年，12家公司协同维持的上述协议，因当事人、鸿大、德聚、盛博、顺风、优信等公司的开业而被迫中断执行。为拉拢当事人等新开业公司加入协议，协会多次采取会议、走访以及其他形式与当事人等各公司商讨如何继续协同。2022年8月1日协会组织会议，达成了将二手车交易服务费统一变更至公示价格的协议。</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
          <w:color w:val="000000" w:themeColor="text1"/>
          <w:sz w:val="32"/>
          <w:szCs w:val="32"/>
          <w:u w:val="single"/>
        </w:rPr>
      </w:pPr>
      <w:r>
        <w:rPr>
          <w:rFonts w:hint="eastAsia" w:ascii="宋体" w:hAnsi="宋体" w:eastAsia="仿宋_GB2312" w:cs="仿宋_GB2312"/>
          <w:color w:val="000000" w:themeColor="text1"/>
          <w:sz w:val="32"/>
          <w:szCs w:val="32"/>
        </w:rPr>
        <w:t>当事人</w:t>
      </w:r>
      <w:r>
        <w:rPr>
          <w:rFonts w:hint="eastAsia" w:ascii="宋体" w:hAnsi="宋体" w:eastAsia="仿宋_GB2312" w:cs="仿宋"/>
          <w:color w:val="000000" w:themeColor="text1"/>
          <w:sz w:val="32"/>
          <w:szCs w:val="32"/>
        </w:rPr>
        <w:t>通过多种渠道得知2022年8月1日协议内容，并自2022年8月1日起按照公示价格收取二手车交易服务费，且参加了8月15日协会组织召开的要求继续执行上述协议的会议。</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经审计，当事人2021年度无销售额</w:t>
      </w:r>
      <w:r>
        <w:rPr>
          <w:rFonts w:hint="eastAsia" w:ascii="宋体" w:hAnsi="宋体" w:eastAsia="仿宋_GB2312" w:cs="仿宋"/>
          <w:color w:val="000000" w:themeColor="text1"/>
          <w:sz w:val="32"/>
          <w:szCs w:val="32"/>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第二组证据：当事人等多家公司公示的二手车交易服务费标准，证明当事人与其他公司所执行的公示价格趋同。</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第三组证据：协会第二届会员大会签到表及会议纪要，当事人加入协会的申请表，当事人相关负责人微信聊天记录，证明当事人与协会的联系以及参加协会8月15日组织的会议。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第四组证据：当事人2022年7月-2022年8月收款记录，证明当事人实施固定或者变更商品价格的事实。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第五组证据：当事人相关负责人、协会相关负责人的询问笔录，证明当事人参与达成并实施固定或者变更商品价格的事实。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第六组证据：当事人市场内商户的调查资料，证明当事人于2022年8月1日变更价格的事实。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第七组证据：会计师事务所出具的当事人财务审计报告，证明当事人2021年度销售额和无法计算违法所得的情况。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项：“禁止具有竞争关系的经营者达成下列垄断协议：（一）固定或者变更商品价格”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（二）处罚款3000元（大写：</w:t>
      </w:r>
      <w:r>
        <w:rPr>
          <w:rFonts w:hint="eastAsia" w:ascii="宋体" w:hAnsi="宋体" w:eastAsia="仿宋_GB2312" w:cs="仿宋_GB2312"/>
          <w:color w:val="000000" w:themeColor="text1"/>
          <w:sz w:val="32"/>
          <w:szCs w:val="32"/>
          <w:lang w:eastAsia="zh-CN"/>
        </w:rPr>
        <w:t>人民币</w:t>
      </w:r>
      <w:r>
        <w:rPr>
          <w:rFonts w:hint="eastAsia" w:ascii="宋体" w:hAnsi="宋体" w:eastAsia="仿宋_GB2312" w:cs="仿宋_GB2312"/>
          <w:color w:val="000000" w:themeColor="text1"/>
          <w:sz w:val="32"/>
          <w:szCs w:val="32"/>
        </w:rPr>
        <w:t>叁仟元整）。</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2"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3"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5" o:spid="_x0000_s102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210643"/>
    <w:rsid w:val="001A46AD"/>
    <w:rsid w:val="001E7A52"/>
    <w:rsid w:val="00210643"/>
    <w:rsid w:val="0031653F"/>
    <w:rsid w:val="00525D52"/>
    <w:rsid w:val="005D2838"/>
    <w:rsid w:val="00777C2D"/>
    <w:rsid w:val="00936A60"/>
    <w:rsid w:val="00AB7C10"/>
    <w:rsid w:val="05E9197D"/>
    <w:rsid w:val="0F687B48"/>
    <w:rsid w:val="21897CDE"/>
    <w:rsid w:val="30732012"/>
    <w:rsid w:val="498D72D3"/>
    <w:rsid w:val="50195801"/>
    <w:rsid w:val="58815614"/>
    <w:rsid w:val="75FB2B7B"/>
    <w:rsid w:val="FFD7E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table of authorities"/>
    <w:basedOn w:val="1"/>
    <w:next w:val="1"/>
    <w:autoRedefine/>
    <w:semiHidden/>
    <w:unhideWhenUsed/>
    <w:qFormat/>
    <w:uiPriority w:val="99"/>
    <w:pPr>
      <w:ind w:left="420" w:leftChars="200"/>
    </w:pPr>
  </w:style>
  <w:style w:type="paragraph" w:styleId="4">
    <w:name w:val="footer"/>
    <w:basedOn w:val="1"/>
    <w:link w:val="9"/>
    <w:unhideWhenUsed/>
    <w:qFormat/>
    <w:uiPriority w:val="0"/>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semiHidden/>
    <w:qFormat/>
    <w:uiPriority w:val="99"/>
    <w:rPr>
      <w:sz w:val="18"/>
      <w:szCs w:val="18"/>
    </w:rPr>
  </w:style>
  <w:style w:type="character" w:customStyle="1" w:styleId="9">
    <w:name w:val="页脚 Char"/>
    <w:basedOn w:val="7"/>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2704</Words>
  <Characters>2804</Characters>
  <Lines>20</Lines>
  <Paragraphs>5</Paragraphs>
  <TotalTime>0</TotalTime>
  <ScaleCrop>false</ScaleCrop>
  <LinksUpToDate>false</LinksUpToDate>
  <CharactersWithSpaces>2873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2023-12-17T11:23:00Z</dcterms:created>
  <dc:creator>HuaWei</dc:creator>
  <cp:lastModifiedBy>lhq</cp:lastModifiedBy>
  <cp:lastPrinted>2023-12-20T03:13:00Z</cp:lastPrinted>
  <dcterms:modified xsi:type="dcterms:W3CDTF">2024-01-05T02:47:54Z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94D8B4A3873E47A7B869842473DC7784_12</vt:lpwstr>
  </property>
</Properties>
</file>