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黑体" w:eastAsia="黑体"/>
          <w:sz w:val="36"/>
          <w:szCs w:val="36"/>
        </w:rPr>
      </w:pPr>
      <w:r>
        <w:rPr>
          <w:rFonts w:hint="eastAsia" w:ascii="黑体" w:eastAsia="黑体"/>
          <w:sz w:val="36"/>
          <w:szCs w:val="36"/>
        </w:rPr>
        <w:t>经营者集中简易案件公示表</w:t>
      </w:r>
    </w:p>
    <w:p>
      <w:pPr>
        <w:spacing w:line="440" w:lineRule="exact"/>
        <w:ind w:firstLine="845" w:firstLineChars="302"/>
        <w:rPr>
          <w:rFonts w:ascii="仿宋_GB2312" w:eastAsia="仿宋_GB2312"/>
          <w:sz w:val="28"/>
          <w:szCs w:val="28"/>
        </w:rPr>
      </w:pPr>
    </w:p>
    <w:tbl>
      <w:tblPr>
        <w:tblStyle w:val="6"/>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796"/>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809" w:type="dxa"/>
            <w:shd w:val="clear" w:color="auto" w:fill="D9D9D9"/>
            <w:vAlign w:val="center"/>
          </w:tcPr>
          <w:p>
            <w:pPr>
              <w:spacing w:line="500" w:lineRule="exact"/>
              <w:jc w:val="center"/>
              <w:rPr>
                <w:rFonts w:hint="default" w:ascii="Times New Roman" w:hAnsi="Times New Roman" w:eastAsia="仿宋" w:cs="Times New Roman"/>
                <w:color w:val="333333"/>
                <w:kern w:val="0"/>
                <w:sz w:val="24"/>
              </w:rPr>
            </w:pPr>
            <w:r>
              <w:rPr>
                <w:rFonts w:hint="default" w:ascii="Times New Roman" w:hAnsi="Times New Roman" w:eastAsia="仿宋" w:cs="Times New Roman"/>
                <w:color w:val="333333"/>
                <w:kern w:val="0"/>
                <w:sz w:val="24"/>
              </w:rPr>
              <w:t>案件名称</w:t>
            </w:r>
          </w:p>
        </w:tc>
        <w:tc>
          <w:tcPr>
            <w:tcW w:w="6949" w:type="dxa"/>
            <w:gridSpan w:val="2"/>
            <w:vAlign w:val="center"/>
          </w:tcPr>
          <w:p>
            <w:pPr>
              <w:widowControl/>
              <w:snapToGrid w:val="0"/>
              <w:rPr>
                <w:rFonts w:hint="default" w:ascii="Times New Roman" w:hAnsi="Times New Roman" w:eastAsia="宋体" w:cs="Times New Roman"/>
                <w:bCs/>
                <w:sz w:val="24"/>
              </w:rPr>
            </w:pPr>
            <w:r>
              <w:rPr>
                <w:rFonts w:hint="default" w:ascii="Times New Roman" w:hAnsi="Times New Roman" w:eastAsia="宋体" w:cs="Times New Roman"/>
                <w:bCs/>
                <w:sz w:val="24"/>
              </w:rPr>
              <w:t>福建圣农发展股份有限公司收购安徽太阳谷食品科技有限公司股权案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2" w:hRule="atLeast"/>
        </w:trPr>
        <w:tc>
          <w:tcPr>
            <w:tcW w:w="1809" w:type="dxa"/>
            <w:shd w:val="clear" w:color="auto" w:fill="D9D9D9"/>
            <w:vAlign w:val="center"/>
          </w:tcPr>
          <w:p>
            <w:pPr>
              <w:spacing w:line="500" w:lineRule="exact"/>
              <w:jc w:val="center"/>
              <w:rPr>
                <w:rFonts w:hint="default" w:ascii="Times New Roman" w:hAnsi="Times New Roman" w:eastAsia="仿宋" w:cs="Times New Roman"/>
                <w:color w:val="333333"/>
                <w:kern w:val="0"/>
                <w:sz w:val="24"/>
              </w:rPr>
            </w:pPr>
            <w:r>
              <w:rPr>
                <w:rFonts w:hint="default" w:ascii="Times New Roman" w:hAnsi="Times New Roman" w:eastAsia="仿宋" w:cs="Times New Roman"/>
                <w:color w:val="333333"/>
                <w:kern w:val="0"/>
                <w:sz w:val="24"/>
              </w:rPr>
              <w:t>交易概况</w:t>
            </w:r>
          </w:p>
          <w:p>
            <w:pPr>
              <w:spacing w:line="500" w:lineRule="exact"/>
              <w:jc w:val="center"/>
              <w:rPr>
                <w:rFonts w:hint="default" w:ascii="Times New Roman" w:hAnsi="Times New Roman" w:eastAsia="仿宋" w:cs="Times New Roman"/>
                <w:color w:val="333333"/>
                <w:kern w:val="0"/>
                <w:sz w:val="24"/>
              </w:rPr>
            </w:pPr>
            <w:r>
              <w:rPr>
                <w:rFonts w:hint="default" w:ascii="Times New Roman" w:hAnsi="Times New Roman" w:eastAsia="仿宋" w:cs="Times New Roman"/>
                <w:color w:val="333333"/>
                <w:kern w:val="0"/>
                <w:sz w:val="24"/>
              </w:rPr>
              <w:t>（限200字内）</w:t>
            </w:r>
          </w:p>
        </w:tc>
        <w:tc>
          <w:tcPr>
            <w:tcW w:w="6949" w:type="dxa"/>
            <w:gridSpan w:val="2"/>
            <w:vAlign w:val="center"/>
          </w:tcPr>
          <w:p>
            <w:pPr>
              <w:widowControl/>
              <w:snapToGrid w:val="0"/>
              <w:ind w:firstLine="480" w:firstLineChars="200"/>
              <w:rPr>
                <w:rFonts w:hint="default" w:ascii="Times New Roman" w:hAnsi="Times New Roman" w:eastAsia="宋体" w:cs="Times New Roman"/>
                <w:bCs/>
                <w:sz w:val="24"/>
              </w:rPr>
            </w:pPr>
            <w:bookmarkStart w:id="0" w:name="_Hlk151713129"/>
            <w:bookmarkStart w:id="1" w:name="_Hlk151973476"/>
            <w:r>
              <w:rPr>
                <w:rFonts w:hint="default" w:ascii="Times New Roman" w:hAnsi="Times New Roman" w:eastAsia="宋体" w:cs="Times New Roman"/>
                <w:bCs/>
                <w:sz w:val="24"/>
              </w:rPr>
              <w:t>福建圣农发展股份有限公司（“圣农”）</w:t>
            </w:r>
            <w:bookmarkEnd w:id="0"/>
            <w:r>
              <w:rPr>
                <w:rFonts w:hint="default" w:ascii="Times New Roman" w:hAnsi="Times New Roman" w:eastAsia="宋体" w:cs="Times New Roman"/>
                <w:bCs/>
                <w:sz w:val="24"/>
              </w:rPr>
              <w:t>、廖俊杰与德弘钰玺（天津）股权投资合伙企业（有限合伙）（“德弘钰玺”）、安徽太阳谷食品科技有限公司（“太阳谷”）签署协议，约定圣农、廖俊杰自德弘钰玺受让太阳谷45.1557%、3.0000%的股权；圣农与德弘钰达（天津）企业管理咨询合伙企业（有限合伙）（“德弘钰达”）、太阳谷签订协议，约定圣农</w:t>
            </w:r>
            <w:bookmarkStart w:id="3" w:name="_GoBack"/>
            <w:bookmarkEnd w:id="3"/>
            <w:r>
              <w:rPr>
                <w:rFonts w:hint="default" w:ascii="Times New Roman" w:hAnsi="Times New Roman" w:eastAsia="宋体" w:cs="Times New Roman"/>
                <w:bCs/>
                <w:sz w:val="24"/>
              </w:rPr>
              <w:t>自德弘钰达受让太阳谷0.8443%的股权；圣农、廖俊杰与德弘钰玺、太阳谷签订协议，约定其分别受让德弘钰玺持有太阳谷人民币6,716万元、438万元的可转股债权。</w:t>
            </w:r>
          </w:p>
          <w:p>
            <w:pPr>
              <w:widowControl/>
              <w:snapToGrid w:val="0"/>
              <w:ind w:firstLine="480" w:firstLineChars="200"/>
              <w:rPr>
                <w:rFonts w:hint="default" w:ascii="Times New Roman" w:hAnsi="Times New Roman" w:eastAsia="宋体" w:cs="Times New Roman"/>
                <w:sz w:val="24"/>
              </w:rPr>
            </w:pPr>
            <w:r>
              <w:rPr>
                <w:rFonts w:hint="default" w:ascii="Times New Roman" w:hAnsi="Times New Roman" w:eastAsia="宋体" w:cs="Times New Roman"/>
                <w:bCs/>
                <w:sz w:val="24"/>
              </w:rPr>
              <w:t>交易前，德弘钰玺及其一致行动人持有太阳谷100%股权，单独控制太阳谷。交易后，太阳谷公司各股东的持股比例分别为：圣农公司46.0000%，廖俊杰先生3.0000%，德弘钰玺35.4298%，Ancient Steel (HK) Limited15.5702%。德弘钰玺与Ancient Steel (HK) Limited为一致行动人。</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trPr>
        <w:tc>
          <w:tcPr>
            <w:tcW w:w="1809" w:type="dxa"/>
            <w:vMerge w:val="restart"/>
            <w:shd w:val="clear" w:color="auto" w:fill="D9D9D9"/>
            <w:vAlign w:val="center"/>
          </w:tcPr>
          <w:p>
            <w:pPr>
              <w:spacing w:line="500" w:lineRule="exact"/>
              <w:jc w:val="center"/>
              <w:rPr>
                <w:rFonts w:hint="default" w:ascii="Times New Roman" w:hAnsi="Times New Roman" w:eastAsia="仿宋" w:cs="Times New Roman"/>
                <w:color w:val="333333"/>
                <w:kern w:val="0"/>
                <w:sz w:val="24"/>
              </w:rPr>
            </w:pPr>
            <w:r>
              <w:rPr>
                <w:rFonts w:hint="default" w:ascii="Times New Roman" w:hAnsi="Times New Roman" w:eastAsia="仿宋" w:cs="Times New Roman"/>
                <w:color w:val="333333"/>
                <w:kern w:val="0"/>
                <w:sz w:val="24"/>
              </w:rPr>
              <w:t>参与集中的</w:t>
            </w:r>
          </w:p>
          <w:p>
            <w:pPr>
              <w:spacing w:line="500" w:lineRule="exact"/>
              <w:jc w:val="center"/>
              <w:rPr>
                <w:rFonts w:hint="default" w:ascii="Times New Roman" w:hAnsi="Times New Roman" w:eastAsia="仿宋" w:cs="Times New Roman"/>
                <w:color w:val="333333"/>
                <w:kern w:val="0"/>
                <w:sz w:val="24"/>
              </w:rPr>
            </w:pPr>
            <w:r>
              <w:rPr>
                <w:rFonts w:hint="default" w:ascii="Times New Roman" w:hAnsi="Times New Roman" w:eastAsia="仿宋" w:cs="Times New Roman"/>
                <w:color w:val="333333"/>
                <w:kern w:val="0"/>
                <w:sz w:val="24"/>
              </w:rPr>
              <w:t>经营者简介</w:t>
            </w:r>
          </w:p>
        </w:tc>
        <w:tc>
          <w:tcPr>
            <w:tcW w:w="1796" w:type="dxa"/>
            <w:tcBorders>
              <w:top w:val="single" w:color="auto" w:sz="4" w:space="0"/>
              <w:left w:val="single" w:color="auto" w:sz="4" w:space="0"/>
              <w:bottom w:val="single" w:color="auto" w:sz="4" w:space="0"/>
              <w:right w:val="single" w:color="auto" w:sz="4" w:space="0"/>
            </w:tcBorders>
            <w:vAlign w:val="center"/>
          </w:tcPr>
          <w:p>
            <w:pPr>
              <w:widowControl/>
              <w:snapToGrid w:val="0"/>
              <w:rPr>
                <w:rFonts w:hint="default" w:ascii="Times New Roman" w:hAnsi="Times New Roman" w:eastAsia="宋体" w:cs="Times New Roman"/>
                <w:color w:val="333333"/>
                <w:kern w:val="0"/>
                <w:sz w:val="24"/>
              </w:rPr>
            </w:pPr>
            <w:r>
              <w:rPr>
                <w:rFonts w:hint="default" w:ascii="Times New Roman" w:hAnsi="Times New Roman" w:eastAsia="宋体" w:cs="Times New Roman"/>
                <w:bCs/>
                <w:sz w:val="24"/>
              </w:rPr>
              <w:t>1.福建圣农发展股份有限公司</w:t>
            </w:r>
          </w:p>
        </w:tc>
        <w:tc>
          <w:tcPr>
            <w:tcW w:w="5153" w:type="dxa"/>
            <w:tcBorders>
              <w:top w:val="single" w:color="auto" w:sz="4" w:space="0"/>
              <w:left w:val="single" w:color="auto" w:sz="4" w:space="0"/>
              <w:bottom w:val="single" w:color="auto" w:sz="4" w:space="0"/>
              <w:right w:val="single" w:color="auto" w:sz="4" w:space="0"/>
            </w:tcBorders>
            <w:vAlign w:val="center"/>
          </w:tcPr>
          <w:p>
            <w:pPr>
              <w:widowControl/>
              <w:snapToGrid w:val="0"/>
              <w:rPr>
                <w:rFonts w:hint="default" w:ascii="Times New Roman" w:hAnsi="Times New Roman" w:eastAsia="宋体" w:cs="Times New Roman"/>
                <w:bCs/>
                <w:sz w:val="24"/>
              </w:rPr>
            </w:pPr>
            <w:bookmarkStart w:id="2" w:name="_Toc356809686"/>
            <w:r>
              <w:rPr>
                <w:rFonts w:hint="default" w:ascii="Times New Roman" w:hAnsi="Times New Roman" w:eastAsia="宋体" w:cs="Times New Roman"/>
                <w:bCs/>
                <w:sz w:val="24"/>
              </w:rPr>
              <w:t>圣农发展于1999年12月21日成立于中国福建省，为深交所上市公司，</w:t>
            </w:r>
            <w:bookmarkEnd w:id="2"/>
            <w:r>
              <w:rPr>
                <w:rFonts w:hint="default" w:ascii="Times New Roman" w:hAnsi="Times New Roman" w:eastAsia="宋体" w:cs="Times New Roman"/>
                <w:bCs/>
                <w:sz w:val="24"/>
              </w:rPr>
              <w:t>主要业务为冷冻鸡肉和鸡肉制品的加工。</w:t>
            </w:r>
          </w:p>
          <w:p>
            <w:pPr>
              <w:widowControl/>
              <w:snapToGrid w:val="0"/>
              <w:rPr>
                <w:rFonts w:hint="default" w:ascii="Times New Roman" w:hAnsi="Times New Roman" w:eastAsia="宋体" w:cs="Times New Roman"/>
                <w:color w:val="333333"/>
                <w:kern w:val="0"/>
                <w:sz w:val="24"/>
              </w:rPr>
            </w:pPr>
            <w:r>
              <w:rPr>
                <w:rFonts w:hint="default" w:ascii="Times New Roman" w:hAnsi="Times New Roman" w:eastAsia="宋体" w:cs="Times New Roman"/>
                <w:bCs/>
                <w:sz w:val="24"/>
              </w:rPr>
              <w:t>公司最终控制人为自然人，主要从事冷冻鸡肉和鸡肉制品的加工业务。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1809" w:type="dxa"/>
            <w:vMerge w:val="continue"/>
            <w:shd w:val="clear" w:color="auto" w:fill="D9D9D9"/>
            <w:vAlign w:val="center"/>
          </w:tcPr>
          <w:p>
            <w:pPr>
              <w:spacing w:line="500" w:lineRule="exact"/>
              <w:jc w:val="center"/>
              <w:rPr>
                <w:rFonts w:hint="default" w:ascii="Times New Roman" w:hAnsi="Times New Roman" w:eastAsia="仿宋" w:cs="Times New Roman"/>
                <w:color w:val="333333"/>
                <w:kern w:val="0"/>
                <w:sz w:val="24"/>
              </w:rPr>
            </w:pPr>
          </w:p>
        </w:tc>
        <w:tc>
          <w:tcPr>
            <w:tcW w:w="1796" w:type="dxa"/>
            <w:vAlign w:val="center"/>
          </w:tcPr>
          <w:p>
            <w:pPr>
              <w:widowControl/>
              <w:snapToGrid w:val="0"/>
              <w:rPr>
                <w:rFonts w:hint="default" w:ascii="Times New Roman" w:hAnsi="Times New Roman" w:eastAsia="宋体" w:cs="Times New Roman"/>
                <w:bCs/>
                <w:sz w:val="24"/>
              </w:rPr>
            </w:pPr>
            <w:r>
              <w:rPr>
                <w:rFonts w:hint="default" w:ascii="Times New Roman" w:hAnsi="Times New Roman" w:eastAsia="宋体" w:cs="Times New Roman"/>
                <w:bCs/>
                <w:sz w:val="24"/>
              </w:rPr>
              <w:t>2.</w:t>
            </w:r>
            <w:r>
              <w:rPr>
                <w:rFonts w:hint="default" w:ascii="Times New Roman" w:hAnsi="Times New Roman" w:eastAsia="宋体" w:cs="Times New Roman"/>
                <w:sz w:val="24"/>
              </w:rPr>
              <w:t>德弘钰玺（天津）股权投资合伙企业（有限合伙）</w:t>
            </w:r>
          </w:p>
        </w:tc>
        <w:tc>
          <w:tcPr>
            <w:tcW w:w="5153" w:type="dxa"/>
            <w:vAlign w:val="center"/>
          </w:tcPr>
          <w:p>
            <w:pPr>
              <w:widowControl/>
              <w:snapToGrid w:val="0"/>
              <w:spacing w:beforeLines="0" w:afterLine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德弘钰玺于2022年8月29日设立于天津市滨海高新区，主要以自有资金从事投资活动。</w:t>
            </w:r>
          </w:p>
          <w:p>
            <w:pPr>
              <w:widowControl/>
              <w:snapToGrid w:val="0"/>
              <w:spacing w:beforeLines="0" w:afterLines="0"/>
              <w:rPr>
                <w:rFonts w:hint="default" w:ascii="Times New Roman" w:hAnsi="Times New Roman" w:eastAsia="宋体" w:cs="Times New Roman"/>
                <w:bCs/>
                <w:sz w:val="24"/>
              </w:rPr>
            </w:pPr>
            <w:r>
              <w:rPr>
                <w:rFonts w:hint="default" w:ascii="Times New Roman" w:hAnsi="Times New Roman" w:eastAsia="宋体" w:cs="Times New Roman"/>
                <w:sz w:val="24"/>
                <w:szCs w:val="24"/>
              </w:rPr>
              <w:t>合伙企业最终控制人为自然人，主要从事私募股权投资业务。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809" w:type="dxa"/>
            <w:vMerge w:val="restart"/>
            <w:shd w:val="clear" w:color="auto" w:fill="D9D9D9"/>
            <w:vAlign w:val="center"/>
          </w:tcPr>
          <w:p>
            <w:pPr>
              <w:spacing w:line="500" w:lineRule="exact"/>
              <w:jc w:val="center"/>
              <w:rPr>
                <w:rFonts w:hint="default" w:ascii="Times New Roman" w:hAnsi="Times New Roman" w:eastAsia="仿宋" w:cs="Times New Roman"/>
                <w:color w:val="333333"/>
                <w:kern w:val="0"/>
                <w:sz w:val="24"/>
              </w:rPr>
            </w:pPr>
            <w:r>
              <w:rPr>
                <w:rFonts w:hint="default" w:ascii="Times New Roman" w:hAnsi="Times New Roman" w:eastAsia="仿宋" w:cs="Times New Roman"/>
                <w:color w:val="333333"/>
                <w:kern w:val="0"/>
                <w:sz w:val="24"/>
              </w:rPr>
              <w:t>简易案件理由（可以单选，也可以多选）</w:t>
            </w:r>
          </w:p>
        </w:tc>
        <w:tc>
          <w:tcPr>
            <w:tcW w:w="6949" w:type="dxa"/>
            <w:gridSpan w:val="2"/>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宋体" w:cs="Times New Roman"/>
                <w:bCs/>
                <w:sz w:val="24"/>
              </w:rPr>
            </w:pPr>
            <w:r>
              <w:rPr>
                <w:rFonts w:hint="default" w:ascii="Times New Roman" w:hAnsi="Times New Roman" w:eastAsia="宋体" w:cs="Times New Roman"/>
                <w:bCs/>
                <w:sz w:val="24"/>
              </w:rPr>
              <w:sym w:font="Wingdings" w:char="F0FE"/>
            </w:r>
            <w:r>
              <w:rPr>
                <w:rFonts w:hint="default" w:ascii="Times New Roman" w:hAnsi="Times New Roman" w:eastAsia="宋体" w:cs="Times New Roman"/>
                <w:bCs/>
                <w:sz w:val="24"/>
              </w:rPr>
              <w:t>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809" w:type="dxa"/>
            <w:vMerge w:val="continue"/>
            <w:shd w:val="clear" w:color="auto" w:fill="D9D9D9"/>
            <w:vAlign w:val="center"/>
          </w:tcPr>
          <w:p>
            <w:pPr>
              <w:spacing w:line="500" w:lineRule="exact"/>
              <w:jc w:val="center"/>
              <w:rPr>
                <w:rFonts w:hint="default" w:ascii="Times New Roman" w:hAnsi="Times New Roman" w:eastAsia="仿宋" w:cs="Times New Roman"/>
                <w:color w:val="333333"/>
                <w:kern w:val="0"/>
                <w:sz w:val="24"/>
              </w:rPr>
            </w:pPr>
          </w:p>
        </w:tc>
        <w:tc>
          <w:tcPr>
            <w:tcW w:w="6949" w:type="dxa"/>
            <w:gridSpan w:val="2"/>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宋体" w:cs="Times New Roman"/>
                <w:bCs/>
                <w:sz w:val="24"/>
              </w:rPr>
            </w:pPr>
            <w:r>
              <w:rPr>
                <w:rFonts w:hint="default" w:ascii="Times New Roman" w:hAnsi="Times New Roman" w:eastAsia="宋体" w:cs="Times New Roman"/>
                <w:bCs/>
                <w:sz w:val="24"/>
              </w:rPr>
              <w:sym w:font="Wingdings" w:char="F0FE"/>
            </w:r>
            <w:r>
              <w:rPr>
                <w:rFonts w:hint="default" w:ascii="Times New Roman" w:hAnsi="Times New Roman" w:eastAsia="宋体" w:cs="Times New Roman"/>
                <w:bCs/>
                <w:sz w:val="24"/>
              </w:rPr>
              <w:t>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809" w:type="dxa"/>
            <w:vMerge w:val="continue"/>
            <w:shd w:val="clear" w:color="auto" w:fill="D9D9D9"/>
            <w:vAlign w:val="center"/>
          </w:tcPr>
          <w:p>
            <w:pPr>
              <w:spacing w:line="500" w:lineRule="exact"/>
              <w:jc w:val="center"/>
              <w:rPr>
                <w:rFonts w:hint="default" w:ascii="Times New Roman" w:hAnsi="Times New Roman" w:eastAsia="仿宋" w:cs="Times New Roman"/>
                <w:color w:val="333333"/>
                <w:kern w:val="0"/>
                <w:sz w:val="24"/>
              </w:rPr>
            </w:pPr>
          </w:p>
        </w:tc>
        <w:tc>
          <w:tcPr>
            <w:tcW w:w="6949" w:type="dxa"/>
            <w:gridSpan w:val="2"/>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宋体" w:cs="Times New Roman"/>
                <w:bCs/>
                <w:sz w:val="24"/>
              </w:rPr>
            </w:pPr>
            <w:r>
              <w:rPr>
                <w:rFonts w:hint="default" w:ascii="Times New Roman" w:hAnsi="Times New Roman" w:eastAsia="宋体" w:cs="Times New Roman"/>
                <w:bCs/>
                <w:sz w:val="24"/>
              </w:rPr>
              <w:t>□3.不在同一相关市场、也不存在上下游关系的参与集中的经营者，在与交易有关的每个市场所占的份额均小于25%。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809" w:type="dxa"/>
            <w:vMerge w:val="continue"/>
            <w:shd w:val="clear" w:color="auto" w:fill="D9D9D9"/>
            <w:vAlign w:val="center"/>
          </w:tcPr>
          <w:p>
            <w:pPr>
              <w:spacing w:line="500" w:lineRule="exact"/>
              <w:jc w:val="center"/>
              <w:rPr>
                <w:rFonts w:hint="default" w:ascii="Times New Roman" w:hAnsi="Times New Roman" w:eastAsia="仿宋" w:cs="Times New Roman"/>
                <w:color w:val="333333"/>
                <w:kern w:val="0"/>
                <w:sz w:val="24"/>
              </w:rPr>
            </w:pPr>
          </w:p>
        </w:tc>
        <w:tc>
          <w:tcPr>
            <w:tcW w:w="6949" w:type="dxa"/>
            <w:gridSpan w:val="2"/>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宋体" w:cs="Times New Roman"/>
                <w:bCs/>
                <w:sz w:val="24"/>
              </w:rPr>
            </w:pPr>
            <w:r>
              <w:rPr>
                <w:rFonts w:hint="default" w:ascii="Times New Roman" w:hAnsi="Times New Roman" w:eastAsia="宋体" w:cs="Times New Roman"/>
                <w:bCs/>
                <w:sz w:val="24"/>
              </w:rPr>
              <w:t>□4.参与集中的经营者在中国境外设立合营企业，合营企业不在中国境内从事经济活动。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809" w:type="dxa"/>
            <w:vMerge w:val="continue"/>
            <w:shd w:val="clear" w:color="auto" w:fill="D9D9D9"/>
            <w:vAlign w:val="center"/>
          </w:tcPr>
          <w:p>
            <w:pPr>
              <w:spacing w:line="500" w:lineRule="exact"/>
              <w:jc w:val="center"/>
              <w:rPr>
                <w:rFonts w:hint="default" w:ascii="Times New Roman" w:hAnsi="Times New Roman" w:eastAsia="仿宋" w:cs="Times New Roman"/>
                <w:color w:val="333333"/>
                <w:kern w:val="0"/>
                <w:sz w:val="24"/>
              </w:rPr>
            </w:pPr>
          </w:p>
        </w:tc>
        <w:tc>
          <w:tcPr>
            <w:tcW w:w="6949" w:type="dxa"/>
            <w:gridSpan w:val="2"/>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宋体" w:cs="Times New Roman"/>
                <w:bCs/>
                <w:sz w:val="24"/>
              </w:rPr>
            </w:pPr>
            <w:r>
              <w:rPr>
                <w:rFonts w:hint="default" w:ascii="Times New Roman" w:hAnsi="Times New Roman" w:eastAsia="宋体" w:cs="Times New Roman"/>
                <w:bCs/>
                <w:sz w:val="24"/>
              </w:rPr>
              <w:t>□5.参与集中的经营者收购境外企业股权或资产的，该境外企业不在中国境内从事经济活动。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809" w:type="dxa"/>
            <w:vMerge w:val="continue"/>
            <w:shd w:val="clear" w:color="auto" w:fill="D9D9D9"/>
            <w:vAlign w:val="center"/>
          </w:tcPr>
          <w:p>
            <w:pPr>
              <w:spacing w:line="500" w:lineRule="exact"/>
              <w:jc w:val="center"/>
              <w:rPr>
                <w:rFonts w:hint="default" w:ascii="Times New Roman" w:hAnsi="Times New Roman" w:eastAsia="仿宋" w:cs="Times New Roman"/>
                <w:color w:val="333333"/>
                <w:kern w:val="0"/>
                <w:sz w:val="24"/>
              </w:rPr>
            </w:pPr>
          </w:p>
        </w:tc>
        <w:tc>
          <w:tcPr>
            <w:tcW w:w="6949" w:type="dxa"/>
            <w:gridSpan w:val="2"/>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宋体" w:cs="Times New Roman"/>
                <w:bCs/>
                <w:sz w:val="24"/>
              </w:rPr>
            </w:pPr>
            <w:r>
              <w:rPr>
                <w:rFonts w:hint="default" w:ascii="Times New Roman" w:hAnsi="Times New Roman" w:eastAsia="宋体" w:cs="Times New Roman"/>
                <w:bCs/>
                <w:sz w:val="24"/>
              </w:rPr>
              <w:t>□6.由两个以上的经营者共同控制的合营企业，通过集中被其中一个或一个以上经营者控制。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3" w:hRule="atLeast"/>
        </w:trPr>
        <w:tc>
          <w:tcPr>
            <w:tcW w:w="1809" w:type="dxa"/>
            <w:shd w:val="clear" w:color="auto" w:fill="D9D9D9"/>
            <w:vAlign w:val="center"/>
          </w:tcPr>
          <w:p>
            <w:pPr>
              <w:spacing w:line="500" w:lineRule="exact"/>
              <w:jc w:val="center"/>
              <w:rPr>
                <w:rFonts w:hint="default" w:ascii="Times New Roman" w:hAnsi="Times New Roman" w:eastAsia="仿宋" w:cs="Times New Roman"/>
                <w:color w:val="333333"/>
                <w:kern w:val="0"/>
                <w:sz w:val="24"/>
              </w:rPr>
            </w:pPr>
            <w:r>
              <w:rPr>
                <w:rFonts w:hint="default" w:ascii="Times New Roman" w:hAnsi="Times New Roman" w:eastAsia="仿宋" w:cs="Times New Roman"/>
                <w:color w:val="333333"/>
                <w:kern w:val="0"/>
                <w:sz w:val="24"/>
              </w:rPr>
              <w:t>备注</w:t>
            </w:r>
          </w:p>
        </w:tc>
        <w:tc>
          <w:tcPr>
            <w:tcW w:w="6949" w:type="dxa"/>
            <w:gridSpan w:val="2"/>
          </w:tcPr>
          <w:p>
            <w:pPr>
              <w:widowControl/>
              <w:snapToGrid w:val="0"/>
              <w:rPr>
                <w:rFonts w:hint="default" w:ascii="Times New Roman" w:hAnsi="Times New Roman" w:eastAsia="宋体" w:cs="Times New Roman"/>
                <w:bCs/>
              </w:rPr>
            </w:pPr>
          </w:p>
          <w:p>
            <w:pPr>
              <w:widowControl/>
              <w:snapToGrid w:val="0"/>
              <w:rPr>
                <w:rFonts w:hint="default" w:ascii="Times New Roman" w:hAnsi="Times New Roman" w:eastAsia="宋体" w:cs="Times New Roman"/>
                <w:bCs/>
                <w:sz w:val="24"/>
              </w:rPr>
            </w:pPr>
            <w:r>
              <w:rPr>
                <w:rFonts w:hint="default" w:ascii="Times New Roman" w:hAnsi="Times New Roman" w:eastAsia="宋体" w:cs="Times New Roman"/>
                <w:b/>
                <w:color w:val="000000"/>
                <w:kern w:val="0"/>
                <w:sz w:val="24"/>
                <w:lang w:val="en-GB" w:bidi="ar-AE"/>
              </w:rPr>
              <w:t>横向重叠：</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1"/>
              <w:gridCol w:w="1701"/>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61" w:type="dxa"/>
                  <w:shd w:val="clear" w:color="auto" w:fill="auto"/>
                  <w:vAlign w:val="center"/>
                </w:tcPr>
                <w:p>
                  <w:pPr>
                    <w:widowControl/>
                    <w:snapToGrid w:val="0"/>
                    <w:jc w:val="center"/>
                    <w:rPr>
                      <w:rFonts w:hint="default" w:ascii="Times New Roman" w:hAnsi="Times New Roman" w:eastAsia="宋体" w:cs="Times New Roman"/>
                      <w:bCs/>
                      <w:sz w:val="24"/>
                    </w:rPr>
                  </w:pPr>
                  <w:r>
                    <w:rPr>
                      <w:rFonts w:hint="default" w:ascii="Times New Roman" w:hAnsi="Times New Roman" w:eastAsia="宋体" w:cs="Times New Roman"/>
                      <w:bCs/>
                      <w:color w:val="000000"/>
                      <w:kern w:val="0"/>
                      <w:sz w:val="24"/>
                      <w:lang w:bidi="ar-AE"/>
                    </w:rPr>
                    <w:t>相关商品市场</w:t>
                  </w:r>
                </w:p>
              </w:tc>
              <w:tc>
                <w:tcPr>
                  <w:tcW w:w="1701" w:type="dxa"/>
                  <w:shd w:val="clear" w:color="auto" w:fill="auto"/>
                  <w:vAlign w:val="center"/>
                </w:tcPr>
                <w:p>
                  <w:pPr>
                    <w:widowControl/>
                    <w:snapToGrid w:val="0"/>
                    <w:jc w:val="center"/>
                    <w:rPr>
                      <w:rFonts w:hint="default" w:ascii="Times New Roman" w:hAnsi="Times New Roman" w:eastAsia="宋体" w:cs="Times New Roman"/>
                      <w:bCs/>
                      <w:sz w:val="24"/>
                    </w:rPr>
                  </w:pPr>
                  <w:r>
                    <w:rPr>
                      <w:rFonts w:hint="default" w:ascii="Times New Roman" w:hAnsi="Times New Roman" w:eastAsia="宋体" w:cs="Times New Roman"/>
                      <w:bCs/>
                      <w:color w:val="000000"/>
                      <w:kern w:val="0"/>
                      <w:sz w:val="24"/>
                      <w:lang w:bidi="ar-AE"/>
                    </w:rPr>
                    <w:t>相关地域市场</w:t>
                  </w:r>
                </w:p>
              </w:tc>
              <w:tc>
                <w:tcPr>
                  <w:tcW w:w="3261" w:type="dxa"/>
                  <w:shd w:val="clear" w:color="auto" w:fill="auto"/>
                  <w:vAlign w:val="center"/>
                </w:tcPr>
                <w:p>
                  <w:pPr>
                    <w:widowControl/>
                    <w:snapToGrid w:val="0"/>
                    <w:jc w:val="center"/>
                    <w:rPr>
                      <w:rFonts w:hint="default" w:ascii="Times New Roman" w:hAnsi="Times New Roman" w:eastAsia="宋体" w:cs="Times New Roman"/>
                      <w:bCs/>
                      <w:sz w:val="24"/>
                    </w:rPr>
                  </w:pPr>
                  <w:r>
                    <w:rPr>
                      <w:rFonts w:hint="default" w:ascii="Times New Roman" w:hAnsi="Times New Roman" w:eastAsia="宋体" w:cs="Times New Roman"/>
                      <w:bCs/>
                      <w:color w:val="000000"/>
                      <w:kern w:val="0"/>
                      <w:sz w:val="24"/>
                      <w:lang w:bidi="ar-AE"/>
                    </w:rPr>
                    <w:t>2022年市场份额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1" w:type="dxa"/>
                  <w:vAlign w:val="center"/>
                </w:tcPr>
                <w:p>
                  <w:pPr>
                    <w:widowControl/>
                    <w:snapToGrid w:val="0"/>
                    <w:jc w:val="center"/>
                    <w:rPr>
                      <w:rFonts w:hint="default" w:ascii="Times New Roman" w:hAnsi="Times New Roman" w:eastAsia="宋体" w:cs="Times New Roman"/>
                      <w:bCs/>
                      <w:sz w:val="24"/>
                    </w:rPr>
                  </w:pPr>
                  <w:r>
                    <w:rPr>
                      <w:rFonts w:hint="default" w:ascii="Times New Roman" w:hAnsi="Times New Roman" w:eastAsia="宋体" w:cs="Times New Roman"/>
                      <w:bCs/>
                      <w:color w:val="000000"/>
                      <w:kern w:val="0"/>
                      <w:sz w:val="24"/>
                      <w:lang w:bidi="ar-AE"/>
                    </w:rPr>
                    <w:t>冷鲜鸡肉市场</w:t>
                  </w:r>
                </w:p>
              </w:tc>
              <w:tc>
                <w:tcPr>
                  <w:tcW w:w="1701" w:type="dxa"/>
                  <w:vAlign w:val="center"/>
                </w:tcPr>
                <w:p>
                  <w:pPr>
                    <w:widowControl/>
                    <w:snapToGrid w:val="0"/>
                    <w:jc w:val="center"/>
                    <w:rPr>
                      <w:rFonts w:hint="default" w:ascii="Times New Roman" w:hAnsi="Times New Roman" w:eastAsia="宋体" w:cs="Times New Roman"/>
                      <w:bCs/>
                      <w:sz w:val="24"/>
                    </w:rPr>
                  </w:pPr>
                  <w:r>
                    <w:rPr>
                      <w:rFonts w:hint="default" w:ascii="Times New Roman" w:hAnsi="Times New Roman" w:eastAsia="宋体" w:cs="Times New Roman"/>
                      <w:bCs/>
                      <w:color w:val="000000"/>
                      <w:kern w:val="0"/>
                      <w:sz w:val="24"/>
                      <w:lang w:bidi="ar-AE"/>
                    </w:rPr>
                    <w:t>中国境内</w:t>
                  </w:r>
                </w:p>
              </w:tc>
              <w:tc>
                <w:tcPr>
                  <w:tcW w:w="3261" w:type="dxa"/>
                </w:tcPr>
                <w:p>
                  <w:pPr>
                    <w:widowControl/>
                    <w:adjustRightInd w:val="0"/>
                    <w:snapToGrid w:val="0"/>
                    <w:rPr>
                      <w:rFonts w:hint="default" w:ascii="Times New Roman" w:hAnsi="Times New Roman" w:eastAsia="宋体" w:cs="Times New Roman"/>
                      <w:bCs/>
                      <w:color w:val="000000"/>
                      <w:kern w:val="0"/>
                      <w:sz w:val="24"/>
                      <w:lang w:bidi="ar-AE"/>
                    </w:rPr>
                  </w:pPr>
                  <w:r>
                    <w:rPr>
                      <w:rFonts w:hint="default" w:ascii="Times New Roman" w:hAnsi="Times New Roman" w:eastAsia="宋体" w:cs="Times New Roman"/>
                      <w:bCs/>
                      <w:color w:val="000000"/>
                      <w:kern w:val="0"/>
                      <w:sz w:val="24"/>
                      <w:lang w:bidi="ar-AE"/>
                    </w:rPr>
                    <w:t>圣农发展：[0-5%]</w:t>
                  </w:r>
                </w:p>
                <w:p>
                  <w:pPr>
                    <w:widowControl/>
                    <w:adjustRightInd w:val="0"/>
                    <w:snapToGrid w:val="0"/>
                    <w:rPr>
                      <w:rFonts w:hint="default" w:ascii="Times New Roman" w:hAnsi="Times New Roman" w:eastAsia="宋体" w:cs="Times New Roman"/>
                      <w:bCs/>
                      <w:color w:val="000000"/>
                      <w:kern w:val="0"/>
                      <w:sz w:val="24"/>
                      <w:lang w:bidi="ar-AE"/>
                    </w:rPr>
                  </w:pPr>
                  <w:r>
                    <w:rPr>
                      <w:rFonts w:hint="default" w:ascii="Times New Roman" w:hAnsi="Times New Roman" w:eastAsia="宋体" w:cs="Times New Roman"/>
                      <w:bCs/>
                      <w:color w:val="000000"/>
                      <w:kern w:val="0"/>
                      <w:sz w:val="24"/>
                      <w:lang w:bidi="ar-AE"/>
                    </w:rPr>
                    <w:t>德弘钰玺：[0-5%]</w:t>
                  </w:r>
                </w:p>
                <w:p>
                  <w:pPr>
                    <w:widowControl/>
                    <w:adjustRightInd w:val="0"/>
                    <w:snapToGrid w:val="0"/>
                    <w:rPr>
                      <w:rFonts w:hint="default" w:ascii="Times New Roman" w:hAnsi="Times New Roman" w:eastAsia="宋体" w:cs="Times New Roman"/>
                      <w:bCs/>
                      <w:color w:val="000000"/>
                      <w:kern w:val="0"/>
                      <w:sz w:val="24"/>
                      <w:lang w:bidi="ar-AE"/>
                    </w:rPr>
                  </w:pPr>
                  <w:r>
                    <w:rPr>
                      <w:rFonts w:hint="default" w:ascii="Times New Roman" w:hAnsi="Times New Roman" w:eastAsia="宋体" w:cs="Times New Roman"/>
                      <w:bCs/>
                      <w:color w:val="000000"/>
                      <w:kern w:val="0"/>
                      <w:sz w:val="24"/>
                      <w:lang w:bidi="ar-AE"/>
                    </w:rPr>
                    <w:t>双方合计：[0-5%]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1" w:type="dxa"/>
                  <w:shd w:val="clear" w:color="auto" w:fill="auto"/>
                  <w:vAlign w:val="center"/>
                </w:tcPr>
                <w:p>
                  <w:pPr>
                    <w:widowControl/>
                    <w:snapToGrid w:val="0"/>
                    <w:jc w:val="center"/>
                    <w:rPr>
                      <w:rFonts w:hint="default" w:ascii="Times New Roman" w:hAnsi="Times New Roman" w:eastAsia="宋体" w:cs="Times New Roman"/>
                      <w:bCs/>
                      <w:sz w:val="24"/>
                    </w:rPr>
                  </w:pPr>
                  <w:r>
                    <w:rPr>
                      <w:rFonts w:hint="default" w:ascii="Times New Roman" w:hAnsi="Times New Roman" w:eastAsia="宋体" w:cs="Times New Roman"/>
                      <w:bCs/>
                      <w:color w:val="000000"/>
                      <w:kern w:val="0"/>
                      <w:sz w:val="24"/>
                      <w:lang w:bidi="ar-AE"/>
                    </w:rPr>
                    <w:t>冷冻鸡肉市场</w:t>
                  </w:r>
                </w:p>
              </w:tc>
              <w:tc>
                <w:tcPr>
                  <w:tcW w:w="1701" w:type="dxa"/>
                  <w:shd w:val="clear" w:color="auto" w:fill="auto"/>
                  <w:vAlign w:val="center"/>
                </w:tcPr>
                <w:p>
                  <w:pPr>
                    <w:widowControl/>
                    <w:snapToGrid w:val="0"/>
                    <w:jc w:val="center"/>
                    <w:rPr>
                      <w:rFonts w:hint="default" w:ascii="Times New Roman" w:hAnsi="Times New Roman" w:eastAsia="宋体" w:cs="Times New Roman"/>
                      <w:bCs/>
                      <w:sz w:val="24"/>
                    </w:rPr>
                  </w:pPr>
                  <w:r>
                    <w:rPr>
                      <w:rFonts w:hint="default" w:ascii="Times New Roman" w:hAnsi="Times New Roman" w:eastAsia="宋体" w:cs="Times New Roman"/>
                      <w:bCs/>
                      <w:color w:val="000000"/>
                      <w:kern w:val="0"/>
                      <w:sz w:val="24"/>
                      <w:lang w:bidi="ar-AE"/>
                    </w:rPr>
                    <w:t>中国境内</w:t>
                  </w:r>
                </w:p>
              </w:tc>
              <w:tc>
                <w:tcPr>
                  <w:tcW w:w="3261" w:type="dxa"/>
                  <w:shd w:val="clear" w:color="auto" w:fill="auto"/>
                </w:tcPr>
                <w:p>
                  <w:pPr>
                    <w:widowControl/>
                    <w:adjustRightInd w:val="0"/>
                    <w:snapToGrid w:val="0"/>
                    <w:rPr>
                      <w:rFonts w:hint="default" w:ascii="Times New Roman" w:hAnsi="Times New Roman" w:eastAsia="宋体" w:cs="Times New Roman"/>
                      <w:bCs/>
                      <w:color w:val="000000"/>
                      <w:kern w:val="0"/>
                      <w:sz w:val="24"/>
                      <w:lang w:bidi="ar-AE"/>
                    </w:rPr>
                  </w:pPr>
                  <w:r>
                    <w:rPr>
                      <w:rFonts w:hint="default" w:ascii="Times New Roman" w:hAnsi="Times New Roman" w:eastAsia="宋体" w:cs="Times New Roman"/>
                      <w:bCs/>
                      <w:color w:val="000000"/>
                      <w:kern w:val="0"/>
                      <w:sz w:val="24"/>
                      <w:lang w:bidi="ar-AE"/>
                    </w:rPr>
                    <w:t>圣农发展：[10%-15%]</w:t>
                  </w:r>
                </w:p>
                <w:p>
                  <w:pPr>
                    <w:widowControl/>
                    <w:adjustRightInd w:val="0"/>
                    <w:snapToGrid w:val="0"/>
                    <w:rPr>
                      <w:rFonts w:hint="default" w:ascii="Times New Roman" w:hAnsi="Times New Roman" w:eastAsia="宋体" w:cs="Times New Roman"/>
                      <w:bCs/>
                      <w:color w:val="000000"/>
                      <w:kern w:val="0"/>
                      <w:sz w:val="24"/>
                      <w:lang w:bidi="ar-AE"/>
                    </w:rPr>
                  </w:pPr>
                  <w:r>
                    <w:rPr>
                      <w:rFonts w:hint="default" w:ascii="Times New Roman" w:hAnsi="Times New Roman" w:eastAsia="宋体" w:cs="Times New Roman"/>
                      <w:bCs/>
                      <w:color w:val="000000"/>
                      <w:kern w:val="0"/>
                      <w:sz w:val="24"/>
                      <w:lang w:bidi="ar-AE"/>
                    </w:rPr>
                    <w:t>德弘钰玺：[0-5%]</w:t>
                  </w:r>
                </w:p>
                <w:p>
                  <w:pPr>
                    <w:widowControl/>
                    <w:adjustRightInd w:val="0"/>
                    <w:snapToGrid w:val="0"/>
                    <w:rPr>
                      <w:rFonts w:hint="default" w:ascii="Times New Roman" w:hAnsi="Times New Roman" w:eastAsia="宋体" w:cs="Times New Roman"/>
                      <w:bCs/>
                      <w:color w:val="000000"/>
                      <w:kern w:val="0"/>
                      <w:sz w:val="24"/>
                      <w:lang w:bidi="ar-AE"/>
                    </w:rPr>
                  </w:pPr>
                  <w:r>
                    <w:rPr>
                      <w:rFonts w:hint="default" w:ascii="Times New Roman" w:hAnsi="Times New Roman" w:eastAsia="宋体" w:cs="Times New Roman"/>
                      <w:bCs/>
                      <w:color w:val="000000"/>
                      <w:kern w:val="0"/>
                      <w:sz w:val="24"/>
                      <w:lang w:bidi="ar-AE"/>
                    </w:rPr>
                    <w:t>双方合计：[10%-15%]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1" w:type="dxa"/>
                  <w:vAlign w:val="center"/>
                </w:tcPr>
                <w:p>
                  <w:pPr>
                    <w:widowControl/>
                    <w:snapToGrid w:val="0"/>
                    <w:jc w:val="center"/>
                    <w:rPr>
                      <w:rFonts w:hint="default" w:ascii="Times New Roman" w:hAnsi="Times New Roman" w:eastAsia="宋体" w:cs="Times New Roman"/>
                      <w:bCs/>
                      <w:sz w:val="24"/>
                    </w:rPr>
                  </w:pPr>
                  <w:r>
                    <w:rPr>
                      <w:rFonts w:hint="default" w:ascii="Times New Roman" w:hAnsi="Times New Roman" w:eastAsia="宋体" w:cs="Times New Roman"/>
                      <w:bCs/>
                      <w:color w:val="000000"/>
                      <w:kern w:val="0"/>
                      <w:sz w:val="24"/>
                      <w:lang w:bidi="ar-AE"/>
                    </w:rPr>
                    <w:t>鸡肉制品市场</w:t>
                  </w:r>
                </w:p>
              </w:tc>
              <w:tc>
                <w:tcPr>
                  <w:tcW w:w="1701" w:type="dxa"/>
                  <w:vAlign w:val="center"/>
                </w:tcPr>
                <w:p>
                  <w:pPr>
                    <w:widowControl/>
                    <w:snapToGrid w:val="0"/>
                    <w:jc w:val="center"/>
                    <w:rPr>
                      <w:rFonts w:hint="default" w:ascii="Times New Roman" w:hAnsi="Times New Roman" w:eastAsia="宋体" w:cs="Times New Roman"/>
                      <w:bCs/>
                      <w:sz w:val="24"/>
                    </w:rPr>
                  </w:pPr>
                  <w:r>
                    <w:rPr>
                      <w:rFonts w:hint="default" w:ascii="Times New Roman" w:hAnsi="Times New Roman" w:eastAsia="宋体" w:cs="Times New Roman"/>
                      <w:bCs/>
                      <w:color w:val="000000"/>
                      <w:kern w:val="0"/>
                      <w:sz w:val="24"/>
                      <w:lang w:bidi="ar-AE"/>
                    </w:rPr>
                    <w:t>中国境内</w:t>
                  </w:r>
                </w:p>
              </w:tc>
              <w:tc>
                <w:tcPr>
                  <w:tcW w:w="3261" w:type="dxa"/>
                </w:tcPr>
                <w:p>
                  <w:pPr>
                    <w:widowControl/>
                    <w:adjustRightInd w:val="0"/>
                    <w:snapToGrid w:val="0"/>
                    <w:rPr>
                      <w:rFonts w:hint="default" w:ascii="Times New Roman" w:hAnsi="Times New Roman" w:eastAsia="宋体" w:cs="Times New Roman"/>
                      <w:bCs/>
                      <w:color w:val="000000"/>
                      <w:kern w:val="0"/>
                      <w:sz w:val="24"/>
                      <w:lang w:bidi="ar-AE"/>
                    </w:rPr>
                  </w:pPr>
                  <w:r>
                    <w:rPr>
                      <w:rFonts w:hint="default" w:ascii="Times New Roman" w:hAnsi="Times New Roman" w:eastAsia="宋体" w:cs="Times New Roman"/>
                      <w:bCs/>
                      <w:color w:val="000000"/>
                      <w:kern w:val="0"/>
                      <w:sz w:val="24"/>
                      <w:lang w:bidi="ar-AE"/>
                    </w:rPr>
                    <w:t>圣农发展：[5%-10%]</w:t>
                  </w:r>
                </w:p>
                <w:p>
                  <w:pPr>
                    <w:widowControl/>
                    <w:adjustRightInd w:val="0"/>
                    <w:snapToGrid w:val="0"/>
                    <w:rPr>
                      <w:rFonts w:hint="default" w:ascii="Times New Roman" w:hAnsi="Times New Roman" w:eastAsia="宋体" w:cs="Times New Roman"/>
                      <w:bCs/>
                      <w:color w:val="000000"/>
                      <w:kern w:val="0"/>
                      <w:sz w:val="24"/>
                      <w:lang w:bidi="ar-AE"/>
                    </w:rPr>
                  </w:pPr>
                  <w:r>
                    <w:rPr>
                      <w:rFonts w:hint="default" w:ascii="Times New Roman" w:hAnsi="Times New Roman" w:eastAsia="宋体" w:cs="Times New Roman"/>
                      <w:bCs/>
                      <w:color w:val="000000"/>
                      <w:kern w:val="0"/>
                      <w:sz w:val="24"/>
                      <w:lang w:bidi="ar-AE"/>
                    </w:rPr>
                    <w:t>德弘钰玺：[0-5%]</w:t>
                  </w:r>
                </w:p>
                <w:p>
                  <w:pPr>
                    <w:widowControl/>
                    <w:adjustRightInd w:val="0"/>
                    <w:snapToGrid w:val="0"/>
                    <w:rPr>
                      <w:rFonts w:hint="default" w:ascii="Times New Roman" w:hAnsi="Times New Roman" w:eastAsia="宋体" w:cs="Times New Roman"/>
                      <w:bCs/>
                      <w:color w:val="000000"/>
                      <w:kern w:val="0"/>
                      <w:sz w:val="24"/>
                      <w:lang w:bidi="ar-AE"/>
                    </w:rPr>
                  </w:pPr>
                  <w:r>
                    <w:rPr>
                      <w:rFonts w:hint="default" w:ascii="Times New Roman" w:hAnsi="Times New Roman" w:eastAsia="宋体" w:cs="Times New Roman"/>
                      <w:bCs/>
                      <w:color w:val="000000"/>
                      <w:kern w:val="0"/>
                      <w:sz w:val="24"/>
                      <w:lang w:bidi="ar-AE"/>
                    </w:rPr>
                    <w:t>双方合计：[10%-15%]</w:t>
                  </w:r>
                </w:p>
              </w:tc>
            </w:tr>
          </w:tbl>
          <w:p>
            <w:pPr>
              <w:widowControl/>
              <w:snapToGrid w:val="0"/>
              <w:rPr>
                <w:rFonts w:hint="default" w:ascii="Times New Roman" w:hAnsi="Times New Roman" w:eastAsia="宋体" w:cs="Times New Roman"/>
                <w:bCs/>
                <w:sz w:val="24"/>
              </w:rPr>
            </w:pPr>
          </w:p>
          <w:p>
            <w:pPr>
              <w:widowControl/>
              <w:snapToGrid w:val="0"/>
              <w:rPr>
                <w:rFonts w:hint="default" w:ascii="Times New Roman" w:hAnsi="Times New Roman" w:eastAsia="宋体" w:cs="Times New Roman"/>
                <w:b/>
                <w:sz w:val="24"/>
              </w:rPr>
            </w:pPr>
            <w:r>
              <w:rPr>
                <w:rFonts w:hint="default" w:ascii="Times New Roman" w:hAnsi="Times New Roman" w:eastAsia="宋体" w:cs="Times New Roman"/>
                <w:b/>
                <w:sz w:val="24"/>
              </w:rPr>
              <w:t>纵向关联：</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1"/>
              <w:gridCol w:w="1701"/>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761" w:type="dxa"/>
                  <w:shd w:val="clear" w:color="auto" w:fill="auto"/>
                  <w:vAlign w:val="center"/>
                </w:tcPr>
                <w:p>
                  <w:pPr>
                    <w:widowControl/>
                    <w:snapToGrid w:val="0"/>
                    <w:jc w:val="center"/>
                    <w:rPr>
                      <w:rFonts w:hint="default" w:ascii="Times New Roman" w:hAnsi="Times New Roman" w:eastAsia="宋体" w:cs="Times New Roman"/>
                      <w:bCs/>
                    </w:rPr>
                  </w:pPr>
                  <w:r>
                    <w:rPr>
                      <w:rFonts w:hint="default" w:ascii="Times New Roman" w:hAnsi="Times New Roman" w:eastAsia="宋体" w:cs="Times New Roman"/>
                      <w:bCs/>
                      <w:color w:val="000000"/>
                      <w:kern w:val="0"/>
                      <w:sz w:val="24"/>
                      <w:lang w:bidi="ar-AE"/>
                    </w:rPr>
                    <w:t>相关商品市场</w:t>
                  </w:r>
                </w:p>
              </w:tc>
              <w:tc>
                <w:tcPr>
                  <w:tcW w:w="1701" w:type="dxa"/>
                  <w:shd w:val="clear" w:color="auto" w:fill="auto"/>
                  <w:vAlign w:val="center"/>
                </w:tcPr>
                <w:p>
                  <w:pPr>
                    <w:widowControl/>
                    <w:snapToGrid w:val="0"/>
                    <w:jc w:val="center"/>
                    <w:rPr>
                      <w:rFonts w:hint="default" w:ascii="Times New Roman" w:hAnsi="Times New Roman" w:eastAsia="宋体" w:cs="Times New Roman"/>
                      <w:bCs/>
                    </w:rPr>
                  </w:pPr>
                  <w:r>
                    <w:rPr>
                      <w:rFonts w:hint="default" w:ascii="Times New Roman" w:hAnsi="Times New Roman" w:eastAsia="宋体" w:cs="Times New Roman"/>
                      <w:bCs/>
                      <w:color w:val="000000"/>
                      <w:kern w:val="0"/>
                      <w:sz w:val="24"/>
                      <w:lang w:bidi="ar-AE"/>
                    </w:rPr>
                    <w:t>相关地域市场</w:t>
                  </w:r>
                </w:p>
              </w:tc>
              <w:tc>
                <w:tcPr>
                  <w:tcW w:w="3261" w:type="dxa"/>
                  <w:shd w:val="clear" w:color="auto" w:fill="auto"/>
                  <w:vAlign w:val="center"/>
                </w:tcPr>
                <w:p>
                  <w:pPr>
                    <w:widowControl/>
                    <w:snapToGrid w:val="0"/>
                    <w:jc w:val="center"/>
                    <w:rPr>
                      <w:rFonts w:hint="default" w:ascii="Times New Roman" w:hAnsi="Times New Roman" w:eastAsia="宋体" w:cs="Times New Roman"/>
                      <w:bCs/>
                    </w:rPr>
                  </w:pPr>
                  <w:r>
                    <w:rPr>
                      <w:rFonts w:hint="default" w:ascii="Times New Roman" w:hAnsi="Times New Roman" w:eastAsia="宋体" w:cs="Times New Roman"/>
                      <w:bCs/>
                      <w:color w:val="000000"/>
                      <w:kern w:val="0"/>
                      <w:sz w:val="24"/>
                      <w:lang w:bidi="ar-AE"/>
                    </w:rPr>
                    <w:t>2022年市场份额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1" w:type="dxa"/>
                </w:tcPr>
                <w:p>
                  <w:pPr>
                    <w:widowControl/>
                    <w:adjustRightInd w:val="0"/>
                    <w:snapToGrid w:val="0"/>
                    <w:rPr>
                      <w:rFonts w:hint="default" w:ascii="Times New Roman" w:hAnsi="Times New Roman" w:eastAsia="宋体" w:cs="Times New Roman"/>
                      <w:bCs/>
                      <w:color w:val="000000"/>
                      <w:kern w:val="0"/>
                      <w:sz w:val="24"/>
                      <w:lang w:bidi="ar-AE"/>
                    </w:rPr>
                  </w:pPr>
                  <w:r>
                    <w:rPr>
                      <w:rFonts w:hint="default" w:ascii="Times New Roman" w:hAnsi="Times New Roman" w:eastAsia="宋体" w:cs="Times New Roman"/>
                      <w:bCs/>
                      <w:color w:val="000000"/>
                      <w:kern w:val="0"/>
                      <w:sz w:val="24"/>
                      <w:lang w:bidi="ar-AE"/>
                    </w:rPr>
                    <w:t>上游：冷鲜鸡肉市场</w:t>
                  </w:r>
                </w:p>
                <w:p>
                  <w:pPr>
                    <w:widowControl/>
                    <w:snapToGrid w:val="0"/>
                    <w:rPr>
                      <w:rFonts w:hint="default" w:ascii="Times New Roman" w:hAnsi="Times New Roman" w:eastAsia="宋体" w:cs="Times New Roman"/>
                      <w:bCs/>
                      <w:sz w:val="24"/>
                    </w:rPr>
                  </w:pPr>
                  <w:r>
                    <w:rPr>
                      <w:rFonts w:hint="default" w:ascii="Times New Roman" w:hAnsi="Times New Roman" w:eastAsia="宋体" w:cs="Times New Roman"/>
                      <w:bCs/>
                      <w:color w:val="000000"/>
                      <w:kern w:val="0"/>
                      <w:sz w:val="24"/>
                      <w:lang w:bidi="ar-AE"/>
                    </w:rPr>
                    <w:t>下游：鸡肉制品市场</w:t>
                  </w:r>
                </w:p>
              </w:tc>
              <w:tc>
                <w:tcPr>
                  <w:tcW w:w="1701" w:type="dxa"/>
                  <w:vAlign w:val="center"/>
                </w:tcPr>
                <w:p>
                  <w:pPr>
                    <w:widowControl/>
                    <w:snapToGrid w:val="0"/>
                    <w:jc w:val="center"/>
                    <w:rPr>
                      <w:rFonts w:hint="default" w:ascii="Times New Roman" w:hAnsi="Times New Roman" w:eastAsia="宋体" w:cs="Times New Roman"/>
                      <w:bCs/>
                      <w:sz w:val="24"/>
                    </w:rPr>
                  </w:pPr>
                  <w:r>
                    <w:rPr>
                      <w:rFonts w:hint="default" w:ascii="Times New Roman" w:hAnsi="Times New Roman" w:eastAsia="宋体" w:cs="Times New Roman"/>
                      <w:bCs/>
                      <w:sz w:val="24"/>
                    </w:rPr>
                    <w:t>中国境内</w:t>
                  </w:r>
                </w:p>
              </w:tc>
              <w:tc>
                <w:tcPr>
                  <w:tcW w:w="3261" w:type="dxa"/>
                </w:tcPr>
                <w:p>
                  <w:pPr>
                    <w:widowControl/>
                    <w:adjustRightInd w:val="0"/>
                    <w:snapToGrid w:val="0"/>
                    <w:rPr>
                      <w:rFonts w:hint="default" w:ascii="Times New Roman" w:hAnsi="Times New Roman" w:eastAsia="宋体" w:cs="Times New Roman"/>
                      <w:bCs/>
                      <w:color w:val="000000"/>
                      <w:kern w:val="0"/>
                      <w:sz w:val="24"/>
                      <w:lang w:bidi="ar-AE"/>
                    </w:rPr>
                  </w:pPr>
                  <w:r>
                    <w:rPr>
                      <w:rFonts w:hint="default" w:ascii="Times New Roman" w:hAnsi="Times New Roman" w:eastAsia="宋体" w:cs="Times New Roman"/>
                      <w:bCs/>
                      <w:color w:val="000000"/>
                      <w:kern w:val="0"/>
                      <w:sz w:val="24"/>
                      <w:lang w:bidi="ar-AE"/>
                    </w:rPr>
                    <w:t>上游：中国境内冷鲜鸡肉市场</w:t>
                  </w:r>
                </w:p>
                <w:p>
                  <w:pPr>
                    <w:widowControl/>
                    <w:adjustRightInd w:val="0"/>
                    <w:snapToGrid w:val="0"/>
                    <w:rPr>
                      <w:rFonts w:hint="default" w:ascii="Times New Roman" w:hAnsi="Times New Roman" w:eastAsia="宋体" w:cs="Times New Roman"/>
                      <w:bCs/>
                      <w:color w:val="000000"/>
                      <w:kern w:val="0"/>
                      <w:sz w:val="24"/>
                      <w:lang w:bidi="ar-AE"/>
                    </w:rPr>
                  </w:pPr>
                  <w:r>
                    <w:rPr>
                      <w:rFonts w:hint="default" w:ascii="Times New Roman" w:hAnsi="Times New Roman" w:eastAsia="宋体" w:cs="Times New Roman"/>
                      <w:bCs/>
                      <w:color w:val="000000"/>
                      <w:kern w:val="0"/>
                      <w:sz w:val="24"/>
                      <w:lang w:bidi="ar-AE"/>
                    </w:rPr>
                    <w:t>圣农发展：[0-5%]</w:t>
                  </w:r>
                </w:p>
                <w:p>
                  <w:pPr>
                    <w:widowControl/>
                    <w:adjustRightInd w:val="0"/>
                    <w:snapToGrid w:val="0"/>
                    <w:rPr>
                      <w:rFonts w:hint="default" w:ascii="Times New Roman" w:hAnsi="Times New Roman" w:eastAsia="宋体" w:cs="Times New Roman"/>
                      <w:bCs/>
                      <w:color w:val="000000"/>
                      <w:kern w:val="0"/>
                      <w:sz w:val="24"/>
                      <w:lang w:bidi="ar-AE"/>
                    </w:rPr>
                  </w:pPr>
                  <w:r>
                    <w:rPr>
                      <w:rFonts w:hint="default" w:ascii="Times New Roman" w:hAnsi="Times New Roman" w:eastAsia="宋体" w:cs="Times New Roman"/>
                      <w:bCs/>
                      <w:color w:val="000000"/>
                      <w:kern w:val="0"/>
                      <w:sz w:val="24"/>
                      <w:lang w:bidi="ar-AE"/>
                    </w:rPr>
                    <w:t>德弘钰玺：[0-5%]</w:t>
                  </w:r>
                </w:p>
                <w:p>
                  <w:pPr>
                    <w:widowControl/>
                    <w:adjustRightInd w:val="0"/>
                    <w:snapToGrid w:val="0"/>
                    <w:rPr>
                      <w:rFonts w:hint="default" w:ascii="Times New Roman" w:hAnsi="Times New Roman" w:eastAsia="宋体" w:cs="Times New Roman"/>
                      <w:bCs/>
                      <w:color w:val="000000"/>
                      <w:kern w:val="0"/>
                      <w:sz w:val="24"/>
                      <w:lang w:bidi="ar-AE"/>
                    </w:rPr>
                  </w:pPr>
                  <w:r>
                    <w:rPr>
                      <w:rFonts w:hint="default" w:ascii="Times New Roman" w:hAnsi="Times New Roman" w:eastAsia="宋体" w:cs="Times New Roman"/>
                      <w:bCs/>
                      <w:color w:val="000000"/>
                      <w:kern w:val="0"/>
                      <w:sz w:val="24"/>
                      <w:lang w:bidi="ar-AE"/>
                    </w:rPr>
                    <w:t>下游：中国境内鸡肉制品市场</w:t>
                  </w:r>
                </w:p>
                <w:p>
                  <w:pPr>
                    <w:widowControl/>
                    <w:adjustRightInd w:val="0"/>
                    <w:snapToGrid w:val="0"/>
                    <w:rPr>
                      <w:rFonts w:hint="default" w:ascii="Times New Roman" w:hAnsi="Times New Roman" w:eastAsia="宋体" w:cs="Times New Roman"/>
                      <w:bCs/>
                      <w:color w:val="000000"/>
                      <w:kern w:val="0"/>
                      <w:sz w:val="24"/>
                      <w:lang w:bidi="ar-AE"/>
                    </w:rPr>
                  </w:pPr>
                  <w:r>
                    <w:rPr>
                      <w:rFonts w:hint="default" w:ascii="Times New Roman" w:hAnsi="Times New Roman" w:eastAsia="宋体" w:cs="Times New Roman"/>
                      <w:bCs/>
                      <w:color w:val="000000"/>
                      <w:kern w:val="0"/>
                      <w:sz w:val="24"/>
                      <w:lang w:val="en-GB" w:bidi="ar-AE"/>
                    </w:rPr>
                    <w:t>圣农发展</w:t>
                  </w:r>
                  <w:r>
                    <w:rPr>
                      <w:rFonts w:hint="default" w:ascii="Times New Roman" w:hAnsi="Times New Roman" w:eastAsia="宋体" w:cs="Times New Roman"/>
                      <w:bCs/>
                      <w:color w:val="000000"/>
                      <w:kern w:val="0"/>
                      <w:sz w:val="24"/>
                      <w:lang w:bidi="ar-AE"/>
                    </w:rPr>
                    <w:t>：[5%-10%]</w:t>
                  </w:r>
                </w:p>
                <w:p>
                  <w:pPr>
                    <w:widowControl/>
                    <w:adjustRightInd w:val="0"/>
                    <w:snapToGrid w:val="0"/>
                    <w:rPr>
                      <w:rFonts w:hint="default" w:ascii="Times New Roman" w:hAnsi="Times New Roman" w:eastAsia="宋体" w:cs="Times New Roman"/>
                      <w:bCs/>
                      <w:color w:val="000000"/>
                      <w:kern w:val="0"/>
                      <w:sz w:val="24"/>
                      <w:lang w:bidi="ar-AE"/>
                    </w:rPr>
                  </w:pPr>
                  <w:r>
                    <w:rPr>
                      <w:rFonts w:hint="default" w:ascii="Times New Roman" w:hAnsi="Times New Roman" w:eastAsia="宋体" w:cs="Times New Roman"/>
                      <w:bCs/>
                      <w:color w:val="000000"/>
                      <w:kern w:val="0"/>
                      <w:sz w:val="24"/>
                      <w:lang w:val="en-GB" w:bidi="ar-AE"/>
                    </w:rPr>
                    <w:t>德弘钰玺</w:t>
                  </w:r>
                  <w:r>
                    <w:rPr>
                      <w:rFonts w:hint="default" w:ascii="Times New Roman" w:hAnsi="Times New Roman" w:eastAsia="宋体" w:cs="Times New Roman"/>
                      <w:bCs/>
                      <w:color w:val="000000"/>
                      <w:kern w:val="0"/>
                      <w:sz w:val="24"/>
                      <w:lang w:bidi="ar-A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1" w:type="dxa"/>
                </w:tcPr>
                <w:p>
                  <w:pPr>
                    <w:widowControl/>
                    <w:adjustRightInd w:val="0"/>
                    <w:snapToGrid w:val="0"/>
                    <w:rPr>
                      <w:rFonts w:hint="default" w:ascii="Times New Roman" w:hAnsi="Times New Roman" w:eastAsia="宋体" w:cs="Times New Roman"/>
                      <w:bCs/>
                      <w:color w:val="000000"/>
                      <w:kern w:val="0"/>
                      <w:sz w:val="24"/>
                      <w:lang w:bidi="ar-AE"/>
                    </w:rPr>
                  </w:pPr>
                  <w:r>
                    <w:rPr>
                      <w:rFonts w:hint="default" w:ascii="Times New Roman" w:hAnsi="Times New Roman" w:eastAsia="宋体" w:cs="Times New Roman"/>
                      <w:bCs/>
                      <w:color w:val="000000"/>
                      <w:kern w:val="0"/>
                      <w:sz w:val="24"/>
                      <w:lang w:bidi="ar-AE"/>
                    </w:rPr>
                    <w:t>上游：冷冻鸡肉市场</w:t>
                  </w:r>
                </w:p>
                <w:p>
                  <w:pPr>
                    <w:widowControl/>
                    <w:snapToGrid w:val="0"/>
                    <w:rPr>
                      <w:rFonts w:hint="default" w:ascii="Times New Roman" w:hAnsi="Times New Roman" w:eastAsia="宋体" w:cs="Times New Roman"/>
                      <w:bCs/>
                    </w:rPr>
                  </w:pPr>
                  <w:r>
                    <w:rPr>
                      <w:rFonts w:hint="default" w:ascii="Times New Roman" w:hAnsi="Times New Roman" w:eastAsia="宋体" w:cs="Times New Roman"/>
                      <w:bCs/>
                      <w:color w:val="000000"/>
                      <w:kern w:val="0"/>
                      <w:sz w:val="24"/>
                      <w:lang w:bidi="ar-AE"/>
                    </w:rPr>
                    <w:t>下游：鸡肉制品市场</w:t>
                  </w:r>
                </w:p>
              </w:tc>
              <w:tc>
                <w:tcPr>
                  <w:tcW w:w="1701" w:type="dxa"/>
                  <w:vAlign w:val="center"/>
                </w:tcPr>
                <w:p>
                  <w:pPr>
                    <w:widowControl/>
                    <w:snapToGrid w:val="0"/>
                    <w:jc w:val="center"/>
                    <w:rPr>
                      <w:rFonts w:hint="default" w:ascii="Times New Roman" w:hAnsi="Times New Roman" w:eastAsia="宋体" w:cs="Times New Roman"/>
                      <w:bCs/>
                      <w:sz w:val="24"/>
                    </w:rPr>
                  </w:pPr>
                  <w:r>
                    <w:rPr>
                      <w:rFonts w:hint="default" w:ascii="Times New Roman" w:hAnsi="Times New Roman" w:eastAsia="宋体" w:cs="Times New Roman"/>
                      <w:bCs/>
                      <w:sz w:val="24"/>
                    </w:rPr>
                    <w:t>中国境内</w:t>
                  </w:r>
                </w:p>
              </w:tc>
              <w:tc>
                <w:tcPr>
                  <w:tcW w:w="3261" w:type="dxa"/>
                </w:tcPr>
                <w:p>
                  <w:pPr>
                    <w:widowControl/>
                    <w:adjustRightInd w:val="0"/>
                    <w:snapToGrid w:val="0"/>
                    <w:rPr>
                      <w:rFonts w:hint="default" w:ascii="Times New Roman" w:hAnsi="Times New Roman" w:eastAsia="宋体" w:cs="Times New Roman"/>
                      <w:bCs/>
                      <w:color w:val="000000"/>
                      <w:kern w:val="0"/>
                      <w:sz w:val="24"/>
                      <w:lang w:bidi="ar-AE"/>
                    </w:rPr>
                  </w:pPr>
                  <w:r>
                    <w:rPr>
                      <w:rFonts w:hint="default" w:ascii="Times New Roman" w:hAnsi="Times New Roman" w:eastAsia="宋体" w:cs="Times New Roman"/>
                      <w:bCs/>
                      <w:color w:val="000000"/>
                      <w:kern w:val="0"/>
                      <w:sz w:val="24"/>
                      <w:lang w:bidi="ar-AE"/>
                    </w:rPr>
                    <w:t>上游：中国境内冷冻鸡肉市场</w:t>
                  </w:r>
                </w:p>
                <w:p>
                  <w:pPr>
                    <w:widowControl/>
                    <w:adjustRightInd w:val="0"/>
                    <w:snapToGrid w:val="0"/>
                    <w:rPr>
                      <w:rFonts w:hint="default" w:ascii="Times New Roman" w:hAnsi="Times New Roman" w:eastAsia="宋体" w:cs="Times New Roman"/>
                      <w:bCs/>
                      <w:color w:val="000000"/>
                      <w:kern w:val="0"/>
                      <w:sz w:val="24"/>
                      <w:lang w:bidi="ar-AE"/>
                    </w:rPr>
                  </w:pPr>
                  <w:r>
                    <w:rPr>
                      <w:rFonts w:hint="default" w:ascii="Times New Roman" w:hAnsi="Times New Roman" w:eastAsia="宋体" w:cs="Times New Roman"/>
                      <w:bCs/>
                      <w:color w:val="000000"/>
                      <w:kern w:val="0"/>
                      <w:sz w:val="24"/>
                      <w:lang w:bidi="ar-AE"/>
                    </w:rPr>
                    <w:t>圣农发展：[10%-15%]</w:t>
                  </w:r>
                </w:p>
                <w:p>
                  <w:pPr>
                    <w:widowControl/>
                    <w:adjustRightInd w:val="0"/>
                    <w:snapToGrid w:val="0"/>
                    <w:rPr>
                      <w:rFonts w:hint="default" w:ascii="Times New Roman" w:hAnsi="Times New Roman" w:eastAsia="宋体" w:cs="Times New Roman"/>
                      <w:bCs/>
                      <w:color w:val="000000"/>
                      <w:kern w:val="0"/>
                      <w:sz w:val="24"/>
                      <w:lang w:bidi="ar-AE"/>
                    </w:rPr>
                  </w:pPr>
                  <w:r>
                    <w:rPr>
                      <w:rFonts w:hint="default" w:ascii="Times New Roman" w:hAnsi="Times New Roman" w:eastAsia="宋体" w:cs="Times New Roman"/>
                      <w:bCs/>
                      <w:color w:val="000000"/>
                      <w:kern w:val="0"/>
                      <w:sz w:val="24"/>
                      <w:lang w:bidi="ar-AE"/>
                    </w:rPr>
                    <w:t>德弘钰玺：[0-5%]</w:t>
                  </w:r>
                </w:p>
                <w:p>
                  <w:pPr>
                    <w:widowControl/>
                    <w:adjustRightInd w:val="0"/>
                    <w:snapToGrid w:val="0"/>
                    <w:rPr>
                      <w:rFonts w:hint="default" w:ascii="Times New Roman" w:hAnsi="Times New Roman" w:eastAsia="宋体" w:cs="Times New Roman"/>
                      <w:bCs/>
                      <w:color w:val="000000"/>
                      <w:kern w:val="0"/>
                      <w:sz w:val="24"/>
                      <w:lang w:bidi="ar-AE"/>
                    </w:rPr>
                  </w:pPr>
                  <w:r>
                    <w:rPr>
                      <w:rFonts w:hint="default" w:ascii="Times New Roman" w:hAnsi="Times New Roman" w:eastAsia="宋体" w:cs="Times New Roman"/>
                      <w:bCs/>
                      <w:color w:val="000000"/>
                      <w:kern w:val="0"/>
                      <w:sz w:val="24"/>
                      <w:lang w:bidi="ar-AE"/>
                    </w:rPr>
                    <w:t>下游：中国境内鸡肉制品市场</w:t>
                  </w:r>
                </w:p>
                <w:p>
                  <w:pPr>
                    <w:widowControl/>
                    <w:adjustRightInd w:val="0"/>
                    <w:snapToGrid w:val="0"/>
                    <w:rPr>
                      <w:rFonts w:hint="default" w:ascii="Times New Roman" w:hAnsi="Times New Roman" w:eastAsia="宋体" w:cs="Times New Roman"/>
                      <w:bCs/>
                      <w:color w:val="000000"/>
                      <w:kern w:val="0"/>
                      <w:sz w:val="24"/>
                      <w:lang w:bidi="ar-AE"/>
                    </w:rPr>
                  </w:pPr>
                  <w:r>
                    <w:rPr>
                      <w:rFonts w:hint="default" w:ascii="Times New Roman" w:hAnsi="Times New Roman" w:eastAsia="宋体" w:cs="Times New Roman"/>
                      <w:bCs/>
                      <w:color w:val="000000"/>
                      <w:kern w:val="0"/>
                      <w:sz w:val="24"/>
                      <w:lang w:val="en-GB" w:bidi="ar-AE"/>
                    </w:rPr>
                    <w:t>圣农发展</w:t>
                  </w:r>
                  <w:r>
                    <w:rPr>
                      <w:rFonts w:hint="default" w:ascii="Times New Roman" w:hAnsi="Times New Roman" w:eastAsia="宋体" w:cs="Times New Roman"/>
                      <w:bCs/>
                      <w:color w:val="000000"/>
                      <w:kern w:val="0"/>
                      <w:sz w:val="24"/>
                      <w:lang w:bidi="ar-AE"/>
                    </w:rPr>
                    <w:t>：[5%-10%]</w:t>
                  </w:r>
                </w:p>
                <w:p>
                  <w:pPr>
                    <w:widowControl/>
                    <w:adjustRightInd w:val="0"/>
                    <w:snapToGrid w:val="0"/>
                    <w:rPr>
                      <w:rFonts w:hint="default" w:ascii="Times New Roman" w:hAnsi="Times New Roman" w:eastAsia="宋体" w:cs="Times New Roman"/>
                      <w:bCs/>
                      <w:color w:val="000000"/>
                      <w:kern w:val="0"/>
                      <w:sz w:val="24"/>
                      <w:lang w:bidi="ar-AE"/>
                    </w:rPr>
                  </w:pPr>
                  <w:r>
                    <w:rPr>
                      <w:rFonts w:hint="default" w:ascii="Times New Roman" w:hAnsi="Times New Roman" w:eastAsia="宋体" w:cs="Times New Roman"/>
                      <w:bCs/>
                      <w:color w:val="000000"/>
                      <w:kern w:val="0"/>
                      <w:sz w:val="24"/>
                      <w:lang w:val="en-GB" w:bidi="ar-AE"/>
                    </w:rPr>
                    <w:t>德弘钰玺</w:t>
                  </w:r>
                  <w:r>
                    <w:rPr>
                      <w:rFonts w:hint="default" w:ascii="Times New Roman" w:hAnsi="Times New Roman" w:eastAsia="宋体" w:cs="Times New Roman"/>
                      <w:bCs/>
                      <w:color w:val="000000"/>
                      <w:kern w:val="0"/>
                      <w:sz w:val="24"/>
                      <w:lang w:bidi="ar-AE"/>
                    </w:rPr>
                    <w:t>：[0-5%]</w:t>
                  </w:r>
                </w:p>
              </w:tc>
            </w:tr>
          </w:tbl>
          <w:p>
            <w:pPr>
              <w:widowControl/>
              <w:snapToGrid w:val="0"/>
              <w:rPr>
                <w:rFonts w:hint="default" w:ascii="Times New Roman" w:hAnsi="Times New Roman" w:eastAsia="宋体" w:cs="Times New Roman"/>
                <w:bCs/>
              </w:rPr>
            </w:pPr>
          </w:p>
        </w:tc>
      </w:tr>
    </w:tbl>
    <w:p>
      <w:pPr>
        <w:snapToGrid w:val="0"/>
        <w:spacing w:line="240" w:lineRule="exact"/>
        <w:jc w:val="left"/>
        <w:rPr>
          <w:rFonts w:ascii="楷体_GB2312" w:hAnsi="宋体" w:eastAsia="楷体_GB2312"/>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ESI黑体-GB2312">
    <w:panose1 w:val="02000500000000000000"/>
    <w:charset w:val="86"/>
    <w:family w:val="auto"/>
    <w:pitch w:val="default"/>
    <w:sig w:usb0="800002BF" w:usb1="184F6CF8" w:usb2="00000012" w:usb3="00000000" w:csb0="0004000F" w:csb1="00000000"/>
  </w:font>
  <w:font w:name="CESI楷体-GB2312">
    <w:panose1 w:val="02000500000000000000"/>
    <w:charset w:val="86"/>
    <w:family w:val="auto"/>
    <w:pitch w:val="default"/>
    <w:sig w:usb0="800002BF" w:usb1="184F6CF8" w:usb2="00000012" w:usb3="00000000" w:csb0="0004000F" w:csb1="00000000"/>
  </w:font>
  <w:font w:name="方正楷体_GBK">
    <w:panose1 w:val="02000000000000000000"/>
    <w:charset w:val="86"/>
    <w:family w:val="auto"/>
    <w:pitch w:val="default"/>
    <w:sig w:usb0="00000001" w:usb1="08000000" w:usb2="0000000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阿里巴巴普惠体"/>
    <w:panose1 w:val="00000000000000000000"/>
    <w:charset w:val="86"/>
    <w:family w:val="auto"/>
    <w:pitch w:val="default"/>
    <w:sig w:usb0="00000000" w:usb1="00000000" w:usb2="00000000" w:usb3="00000000" w:csb0="00000000" w:csb1="00000000"/>
  </w:font>
  <w:font w:name="等线">
    <w:altName w:val="阿里巴巴普惠体"/>
    <w:panose1 w:val="00000000000000000000"/>
    <w:charset w:val="00"/>
    <w:family w:val="auto"/>
    <w:pitch w:val="default"/>
    <w:sig w:usb0="00000000" w:usb1="00000000" w:usb2="00000000" w:usb3="00000000" w:csb0="00000000" w:csb1="00000000"/>
  </w:font>
  <w:font w:name="Simplified Arabic">
    <w:altName w:val="Times New Roman"/>
    <w:panose1 w:val="02020603050405020304"/>
    <w:charset w:val="00"/>
    <w:family w:val="roman"/>
    <w:pitch w:val="default"/>
    <w:sig w:usb0="00000000" w:usb1="00000000" w:usb2="00000008" w:usb3="00000000" w:csb0="0000004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阿里巴巴普惠体">
    <w:panose1 w:val="00020600040101010101"/>
    <w:charset w:val="86"/>
    <w:family w:val="auto"/>
    <w:pitch w:val="default"/>
    <w:sig w:usb0="A00002FF" w:usb1="7ACF7CFB" w:usb2="0000001E" w:usb3="00000000" w:csb0="0004009F"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姚体_GBK">
    <w:panose1 w:val="02000000000000000000"/>
    <w:charset w:val="86"/>
    <w:family w:val="auto"/>
    <w:pitch w:val="default"/>
    <w:sig w:usb0="00000001" w:usb1="08000000" w:usb2="00000000" w:usb3="00000000" w:csb0="00040000" w:csb1="00000000"/>
  </w:font>
  <w:font w:name="方正魏碑_GBK">
    <w:panose1 w:val="02000000000000000000"/>
    <w:charset w:val="86"/>
    <w:family w:val="auto"/>
    <w:pitch w:val="default"/>
    <w:sig w:usb0="00000001" w:usb1="0800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CESI宋体-GB13000">
    <w:panose1 w:val="02000500000000000000"/>
    <w:charset w:val="86"/>
    <w:family w:val="auto"/>
    <w:pitch w:val="default"/>
    <w:sig w:usb0="800002BF" w:usb1="18C77CF8" w:usb2="00000016" w:usb3="00000000" w:csb0="0004000F"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585"/>
    <w:rsid w:val="000040E8"/>
    <w:rsid w:val="000116FB"/>
    <w:rsid w:val="00056016"/>
    <w:rsid w:val="0007186F"/>
    <w:rsid w:val="000824A3"/>
    <w:rsid w:val="000869A8"/>
    <w:rsid w:val="000E0F3C"/>
    <w:rsid w:val="00150F03"/>
    <w:rsid w:val="00175A3A"/>
    <w:rsid w:val="001F5AD3"/>
    <w:rsid w:val="00212F2D"/>
    <w:rsid w:val="00213F79"/>
    <w:rsid w:val="00245B31"/>
    <w:rsid w:val="0024737B"/>
    <w:rsid w:val="0032142D"/>
    <w:rsid w:val="003320CA"/>
    <w:rsid w:val="003E36B4"/>
    <w:rsid w:val="00432A25"/>
    <w:rsid w:val="004C4DE5"/>
    <w:rsid w:val="005073F3"/>
    <w:rsid w:val="005458A9"/>
    <w:rsid w:val="00563708"/>
    <w:rsid w:val="005E359D"/>
    <w:rsid w:val="00606650"/>
    <w:rsid w:val="00623E2D"/>
    <w:rsid w:val="00646F47"/>
    <w:rsid w:val="00692320"/>
    <w:rsid w:val="0069321D"/>
    <w:rsid w:val="007479F6"/>
    <w:rsid w:val="007E65F2"/>
    <w:rsid w:val="007E7BDA"/>
    <w:rsid w:val="00825B07"/>
    <w:rsid w:val="0083433A"/>
    <w:rsid w:val="00847072"/>
    <w:rsid w:val="00862580"/>
    <w:rsid w:val="00867DB6"/>
    <w:rsid w:val="008A2AA1"/>
    <w:rsid w:val="00954A59"/>
    <w:rsid w:val="00971C2C"/>
    <w:rsid w:val="009C1BDD"/>
    <w:rsid w:val="009E5782"/>
    <w:rsid w:val="00A35EF6"/>
    <w:rsid w:val="00A80922"/>
    <w:rsid w:val="00AA49BA"/>
    <w:rsid w:val="00AB53CE"/>
    <w:rsid w:val="00AE084E"/>
    <w:rsid w:val="00B342CA"/>
    <w:rsid w:val="00B427E3"/>
    <w:rsid w:val="00B738B8"/>
    <w:rsid w:val="00C0422D"/>
    <w:rsid w:val="00C14748"/>
    <w:rsid w:val="00C20BB1"/>
    <w:rsid w:val="00C37502"/>
    <w:rsid w:val="00C673B6"/>
    <w:rsid w:val="00C71DA2"/>
    <w:rsid w:val="00C76FDA"/>
    <w:rsid w:val="00C9051C"/>
    <w:rsid w:val="00CE6ACF"/>
    <w:rsid w:val="00D14B82"/>
    <w:rsid w:val="00D55564"/>
    <w:rsid w:val="00DC12A8"/>
    <w:rsid w:val="00DF430C"/>
    <w:rsid w:val="00E42F70"/>
    <w:rsid w:val="00E45314"/>
    <w:rsid w:val="00E47C97"/>
    <w:rsid w:val="00EA23DB"/>
    <w:rsid w:val="00EC6E5A"/>
    <w:rsid w:val="00EE068A"/>
    <w:rsid w:val="00FB6330"/>
    <w:rsid w:val="00FD44B0"/>
    <w:rsid w:val="1FFDA53D"/>
    <w:rsid w:val="2C79BF1A"/>
    <w:rsid w:val="36DEFD86"/>
    <w:rsid w:val="4F42166B"/>
    <w:rsid w:val="6DFB083C"/>
    <w:rsid w:val="6FEC583F"/>
    <w:rsid w:val="6FEFD42A"/>
    <w:rsid w:val="77BA3B9F"/>
    <w:rsid w:val="B7F06467"/>
    <w:rsid w:val="B8EB075A"/>
    <w:rsid w:val="BAD11E6A"/>
    <w:rsid w:val="D7F71EEC"/>
    <w:rsid w:val="FF472252"/>
    <w:rsid w:val="FFE3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unhideWhenUsed/>
    <w:qFormat/>
    <w:uiPriority w:val="0"/>
    <w:pPr>
      <w:widowControl/>
      <w:spacing w:after="240"/>
    </w:pPr>
    <w:rPr>
      <w:rFonts w:ascii="Times New Roman" w:hAnsi="Times New Roman" w:eastAsia="宋体" w:cs="Simplified Arabic"/>
      <w:kern w:val="0"/>
      <w:sz w:val="24"/>
      <w:lang w:val="en-GB" w:eastAsia="en-GB" w:bidi="ar-AE"/>
    </w:rPr>
  </w:style>
  <w:style w:type="paragraph" w:styleId="3">
    <w:name w:val="endnote text"/>
    <w:basedOn w:val="1"/>
    <w:link w:val="9"/>
    <w:qFormat/>
    <w:uiPriority w:val="0"/>
    <w:pPr>
      <w:snapToGrid w:val="0"/>
      <w:jc w:val="left"/>
    </w:p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尾注文本 Char"/>
    <w:basedOn w:val="8"/>
    <w:link w:val="3"/>
    <w:qFormat/>
    <w:uiPriority w:val="0"/>
    <w:rPr>
      <w:szCs w:val="24"/>
    </w:rPr>
  </w:style>
  <w:style w:type="character" w:customStyle="1" w:styleId="10">
    <w:name w:val="正文文本 Char"/>
    <w:basedOn w:val="8"/>
    <w:link w:val="2"/>
    <w:qFormat/>
    <w:uiPriority w:val="0"/>
    <w:rPr>
      <w:rFonts w:ascii="Times New Roman" w:hAnsi="Times New Roman" w:eastAsia="宋体" w:cs="Simplified Arabic"/>
      <w:kern w:val="0"/>
      <w:sz w:val="24"/>
      <w:szCs w:val="24"/>
      <w:lang w:val="en-GB" w:eastAsia="en-GB" w:bidi="ar-AE"/>
    </w:rPr>
  </w:style>
  <w:style w:type="paragraph" w:styleId="11">
    <w:name w:val="List Paragraph"/>
    <w:basedOn w:val="1"/>
    <w:qFormat/>
    <w:uiPriority w:val="34"/>
    <w:pPr>
      <w:ind w:firstLine="420" w:firstLineChars="200"/>
    </w:pPr>
  </w:style>
  <w:style w:type="paragraph" w:customStyle="1" w:styleId="12">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13">
    <w:name w:val="页眉 Char"/>
    <w:basedOn w:val="8"/>
    <w:link w:val="5"/>
    <w:qFormat/>
    <w:uiPriority w:val="99"/>
    <w:rPr>
      <w:sz w:val="18"/>
      <w:szCs w:val="18"/>
    </w:rPr>
  </w:style>
  <w:style w:type="character" w:customStyle="1" w:styleId="14">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211</Words>
  <Characters>1208</Characters>
  <Lines>10</Lines>
  <Paragraphs>2</Paragraphs>
  <TotalTime>24</TotalTime>
  <ScaleCrop>false</ScaleCrop>
  <LinksUpToDate>false</LinksUpToDate>
  <CharactersWithSpaces>1417</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2024-02-07T17:01:00Z</dcterms:created>
  <dc:creator>dell</dc:creator>
  <cp:lastModifiedBy>oa</cp:lastModifiedBy>
  <dcterms:modified xsi:type="dcterms:W3CDTF">2024-02-08T08:56:18Z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