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〕6-4号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当事人：焦作市东城国贸二手车市场有限公司；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统一代码：91410800MA40HKHU5G；</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法人代表：</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住所：焦作市文昌路南段西北院；</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类型：有限责任公司（自然人投资或控股）；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经营范围：二手车交易服务、二手车经销、二手车经纪；市场管理服务；电子商务二手车交易平台；房屋租赁。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w:t>
      </w:r>
      <w:r>
        <w:rPr>
          <w:rFonts w:hint="eastAsia" w:ascii="宋体" w:hAnsi="宋体" w:eastAsia="仿宋_GB2312"/>
          <w:color w:val="000000" w:themeColor="text1"/>
          <w:sz w:val="32"/>
          <w:szCs w:val="32"/>
        </w:rPr>
        <w:t>、</w:t>
      </w:r>
      <w:r>
        <w:rPr>
          <w:rFonts w:ascii="宋体" w:hAnsi="宋体" w:eastAsia="仿宋_GB2312"/>
          <w:color w:val="000000" w:themeColor="text1"/>
          <w:sz w:val="32"/>
          <w:szCs w:val="32"/>
        </w:rPr>
        <w:t>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（一）焦作市二手车交易市场公司在焦作市二手车交易服务市场是具有竞争关系的经营者。</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楷体" w:cs="楷体"/>
          <w:color w:val="000000" w:themeColor="text1"/>
          <w:sz w:val="32"/>
          <w:szCs w:val="32"/>
        </w:rPr>
      </w:pPr>
      <w:r>
        <w:rPr>
          <w:rFonts w:hint="eastAsia" w:ascii="宋体" w:hAnsi="宋体" w:eastAsia="楷体" w:cs="楷体"/>
          <w:color w:val="000000" w:themeColor="text1"/>
          <w:sz w:val="32"/>
          <w:szCs w:val="32"/>
        </w:rPr>
        <w:t>（二）当事人参与达成并实施了固定或者变更商品价格、分割销售市场的垄断协议。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启汇、通大、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当事人是协会的监事单位。在协议实施期间，当事人</w:t>
      </w:r>
      <w:r>
        <w:rPr>
          <w:rFonts w:hint="eastAsia" w:ascii="宋体" w:hAnsi="宋体" w:eastAsia="仿宋_GB2312" w:cs="仿宋"/>
          <w:color w:val="000000" w:themeColor="text1"/>
          <w:sz w:val="32"/>
          <w:szCs w:val="32"/>
        </w:rPr>
        <w:t>按照公示价格收取二手车交易服务费实施了固定或者变更商品价格的行为，并通过向协会交纳保证金和多次通过现金等形式上交资金或收取协会补贴实施了分割销售市场的行为。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经审计，当事人2021年度销售额为1,592,990.00元。</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第三组证据：当事人交纳会费和保证金的相关财务凭证复印件，协会第二届会员大会签到表及会议纪要，证明当事人的协会监事单位身份和交纳保证金的事实。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第四组证据：当事人相关销售台账、手工记账的复印件等，证明当事人实施了固定或者变更商品价格、分割销售市场的事实。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第五组证据：当事人相关负责人的微信聊天记录，证明当事人参加2022年8月1日会议的事实。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第六组证据：当事人相关负责人的询问笔录，证明当事人达成并实施了固定或者变更商品价格、分割销售市场的事实。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kern w:val="0"/>
          <w:sz w:val="32"/>
          <w:szCs w:val="32"/>
          <w:shd w:val="clear" w:color="auto" w:fill="FFFFFF"/>
        </w:rPr>
      </w:pPr>
      <w:r>
        <w:rPr>
          <w:rFonts w:hint="eastAsia" w:ascii="宋体" w:hAnsi="宋体" w:eastAsia="仿宋_GB2312" w:cs="仿宋_GB2312"/>
          <w:color w:val="000000" w:themeColor="text1"/>
          <w:sz w:val="32"/>
          <w:szCs w:val="32"/>
        </w:rPr>
        <w:t>第七组证据：</w:t>
      </w:r>
      <w:r>
        <w:rPr>
          <w:rFonts w:ascii="宋体" w:hAnsi="宋体" w:eastAsia="仿宋_GB2312"/>
          <w:color w:val="000000" w:themeColor="text1"/>
          <w:kern w:val="0"/>
          <w:sz w:val="32"/>
          <w:szCs w:val="32"/>
          <w:shd w:val="clear" w:color="auto" w:fill="FFFFFF"/>
        </w:rPr>
        <w:t>会计师事务所出具的当事人财务审计报告，证明当事人20</w:t>
      </w:r>
      <w:r>
        <w:rPr>
          <w:rFonts w:hint="eastAsia" w:ascii="宋体" w:hAnsi="宋体" w:eastAsia="仿宋_GB2312"/>
          <w:color w:val="000000" w:themeColor="text1"/>
          <w:kern w:val="0"/>
          <w:sz w:val="32"/>
          <w:szCs w:val="32"/>
          <w:shd w:val="clear" w:color="auto" w:fill="FFFFFF"/>
        </w:rPr>
        <w:t>21</w:t>
      </w:r>
      <w:r>
        <w:rPr>
          <w:rFonts w:ascii="宋体" w:hAnsi="宋体" w:eastAsia="仿宋_GB2312"/>
          <w:color w:val="000000" w:themeColor="text1"/>
          <w:kern w:val="0"/>
          <w:sz w:val="32"/>
          <w:szCs w:val="32"/>
          <w:shd w:val="clear" w:color="auto" w:fill="FFFFFF"/>
        </w:rPr>
        <w:t>年度销售额和</w:t>
      </w:r>
      <w:r>
        <w:rPr>
          <w:rFonts w:ascii="宋体" w:hAnsi="宋体" w:eastAsia="仿宋_GB2312"/>
          <w:color w:val="000000" w:themeColor="text1"/>
          <w:sz w:val="32"/>
          <w:szCs w:val="32"/>
        </w:rPr>
        <w:t>无法计算违法所得的</w:t>
      </w:r>
      <w:r>
        <w:rPr>
          <w:rFonts w:ascii="宋体" w:hAnsi="宋体" w:eastAsia="仿宋_GB2312"/>
          <w:color w:val="000000" w:themeColor="text1"/>
          <w:kern w:val="0"/>
          <w:sz w:val="32"/>
          <w:szCs w:val="32"/>
          <w:shd w:val="clear" w:color="auto" w:fill="FFFFFF"/>
        </w:rPr>
        <w:t>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（二）处2021年度销售额1,592,990.00元3%的罚款，计47,789.70元（大写：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肆万柒仟柒佰捌拾玖元柒角零分）。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黑体"/>
          <w:color w:val="000000" w:themeColor="text1"/>
          <w:kern w:val="0"/>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pStyle w:val="2"/>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rPr>
      </w:pPr>
    </w:p>
    <w:p>
      <w:pPr>
        <w:rPr>
          <w:rFonts w:hint="eastAsia"/>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pStyle w:val="3"/>
        <w:rPr>
          <w:rFonts w:hint="eastAsia" w:ascii="宋体" w:hAnsi="宋体" w:eastAsia="仿宋_GB2312"/>
          <w:color w:val="000000" w:themeColor="text1"/>
          <w:sz w:val="32"/>
          <w:szCs w:val="32"/>
        </w:rPr>
      </w:pPr>
    </w:p>
    <w:p>
      <w:pPr>
        <w:pStyle w:val="3"/>
        <w:rPr>
          <w:rFonts w:hint="eastAsia" w:ascii="宋体" w:hAnsi="宋体" w:eastAsia="仿宋_GB2312"/>
          <w:color w:val="000000" w:themeColor="text1"/>
          <w:sz w:val="32"/>
          <w:szCs w:val="32"/>
        </w:rPr>
      </w:pPr>
    </w:p>
    <w:p>
      <w:pPr>
        <w:pStyle w:val="3"/>
        <w:rPr>
          <w:rFonts w:hint="eastAsia" w:ascii="宋体" w:hAnsi="宋体" w:eastAsia="仿宋_GB2312"/>
          <w:color w:val="000000" w:themeColor="text1"/>
          <w:sz w:val="32"/>
          <w:szCs w:val="32"/>
        </w:rPr>
      </w:pPr>
    </w:p>
    <w:p>
      <w:pPr>
        <w:pStyle w:val="3"/>
        <w:rPr>
          <w:rFonts w:hint="eastAsia" w:ascii="宋体" w:hAnsi="宋体" w:eastAsia="仿宋_GB2312"/>
          <w:color w:val="000000" w:themeColor="text1"/>
          <w:sz w:val="32"/>
          <w:szCs w:val="32"/>
        </w:rPr>
      </w:pPr>
    </w:p>
    <w:p>
      <w:pPr>
        <w:pStyle w:val="3"/>
        <w:rPr>
          <w:rFonts w:hint="eastAsia" w:ascii="宋体" w:hAnsi="宋体" w:eastAsia="仿宋_GB2312"/>
          <w:color w:val="000000" w:themeColor="text1"/>
          <w:sz w:val="32"/>
          <w:szCs w:val="32"/>
        </w:rPr>
      </w:pPr>
    </w:p>
    <w:p>
      <w:pPr>
        <w:pStyle w:val="3"/>
        <w:rPr>
          <w:rFonts w:hint="eastAsia" w:ascii="宋体" w:hAnsi="宋体" w:eastAsia="仿宋_GB2312"/>
          <w:color w:val="000000" w:themeColor="text1"/>
          <w:sz w:val="32"/>
          <w:szCs w:val="32"/>
        </w:rPr>
      </w:pPr>
    </w:p>
    <w:p>
      <w:pPr>
        <w:pStyle w:val="2"/>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DD29AC"/>
    <w:rsid w:val="00001B8C"/>
    <w:rsid w:val="00194D76"/>
    <w:rsid w:val="004A55BF"/>
    <w:rsid w:val="0067362D"/>
    <w:rsid w:val="0068431A"/>
    <w:rsid w:val="00770581"/>
    <w:rsid w:val="009823AA"/>
    <w:rsid w:val="00B30908"/>
    <w:rsid w:val="00C9068C"/>
    <w:rsid w:val="00C93C6C"/>
    <w:rsid w:val="00D66FAA"/>
    <w:rsid w:val="00DA2F85"/>
    <w:rsid w:val="00DD29AC"/>
    <w:rsid w:val="00E72789"/>
    <w:rsid w:val="00EF5ADA"/>
    <w:rsid w:val="00FF6F8B"/>
    <w:rsid w:val="22C73C5F"/>
    <w:rsid w:val="2A3C7C10"/>
    <w:rsid w:val="33067EF7"/>
    <w:rsid w:val="349160F1"/>
    <w:rsid w:val="3FDFE5C1"/>
    <w:rsid w:val="45B30D1C"/>
    <w:rsid w:val="4C0B09CF"/>
    <w:rsid w:val="568F6D7A"/>
    <w:rsid w:val="65743569"/>
    <w:rsid w:val="6B110469"/>
    <w:rsid w:val="74105B2A"/>
    <w:rsid w:val="7E6B234A"/>
    <w:rsid w:val="7FBC183B"/>
    <w:rsid w:val="FBFE09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Indent"/>
    <w:basedOn w:val="1"/>
    <w:qFormat/>
    <w:uiPriority w:val="0"/>
    <w:pPr>
      <w:ind w:firstLine="200" w:firstLineChars="200"/>
    </w:pPr>
    <w:rPr>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2890</Words>
  <Characters>3009</Characters>
  <Lines>22</Lines>
  <Paragraphs>6</Paragraphs>
  <TotalTime>0</TotalTime>
  <ScaleCrop>false</ScaleCrop>
  <LinksUpToDate>false</LinksUpToDate>
  <CharactersWithSpaces>3078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2023-12-01T10:39:00Z</dcterms:created>
  <dc:creator>admin</dc:creator>
  <cp:lastModifiedBy>lhq</cp:lastModifiedBy>
  <dcterms:modified xsi:type="dcterms:W3CDTF">2024-01-05T02:45:33Z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860CB50275F54564847648E2AEC681D6_12</vt:lpwstr>
  </property>
</Properties>
</file>